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40F26F65" w:rsidR="002A4053" w:rsidRPr="00D34E1E" w:rsidRDefault="00B01561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October 16</w:t>
      </w:r>
      <w:r w:rsidR="0031503D" w:rsidRPr="00D34E1E">
        <w:rPr>
          <w:b/>
          <w:sz w:val="21"/>
          <w:szCs w:val="21"/>
        </w:rPr>
        <w:t>,</w:t>
      </w:r>
      <w:r w:rsidR="00954666" w:rsidRPr="00D34E1E">
        <w:rPr>
          <w:b/>
          <w:sz w:val="21"/>
          <w:szCs w:val="21"/>
        </w:rPr>
        <w:t xml:space="preserve"> 2017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093EE79" w:rsidR="00F27F28" w:rsidRDefault="0088513C" w:rsidP="00A83AF3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Public Library,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>, 73 Elm Street, (207) 872-5233.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77777777" w:rsidR="008B65AC" w:rsidRPr="00D34E1E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713A5BCB" w14:textId="77777777" w:rsidR="008637B2" w:rsidRPr="00D34E1E" w:rsidRDefault="008637B2" w:rsidP="008637B2">
      <w:pPr>
        <w:ind w:left="1080"/>
        <w:rPr>
          <w:sz w:val="21"/>
          <w:szCs w:val="21"/>
        </w:rPr>
      </w:pP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12D87D37" w14:textId="6C53D750" w:rsidR="00107C16" w:rsidRPr="00D34E1E" w:rsidRDefault="00C6352B" w:rsidP="00F9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contextualSpacing/>
        <w:rPr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Pr="00C6352B">
        <w:rPr>
          <w:b/>
          <w:sz w:val="21"/>
          <w:szCs w:val="21"/>
        </w:rPr>
        <w:t xml:space="preserve">:  </w:t>
      </w:r>
      <w:r w:rsidR="00F95092">
        <w:rPr>
          <w:b/>
          <w:sz w:val="21"/>
          <w:szCs w:val="21"/>
        </w:rPr>
        <w:t>S</w:t>
      </w:r>
      <w:r w:rsidR="00F95092" w:rsidRPr="00F95092">
        <w:rPr>
          <w:b/>
          <w:sz w:val="21"/>
          <w:szCs w:val="21"/>
        </w:rPr>
        <w:t xml:space="preserve">kip MacGowan.  Topic: </w:t>
      </w:r>
      <w:r w:rsidR="00B01561" w:rsidRPr="00B01561">
        <w:rPr>
          <w:b/>
          <w:sz w:val="21"/>
          <w:szCs w:val="21"/>
        </w:rPr>
        <w:t>Part two of the history of the system of care for people with intellectual/developmental disabilities, including Pineland, the Consent Decree, the Consumer Advisory Board, Community Standards, and other mechanisms put in place to ensure the system of care worked well</w:t>
      </w:r>
      <w:r w:rsidR="00B01561">
        <w:rPr>
          <w:b/>
          <w:sz w:val="21"/>
          <w:szCs w:val="21"/>
        </w:rPr>
        <w:t>.</w:t>
      </w:r>
      <w:r w:rsidR="00F95092" w:rsidRPr="00F95092">
        <w:rPr>
          <w:b/>
          <w:sz w:val="21"/>
          <w:szCs w:val="21"/>
        </w:rPr>
        <w:t xml:space="preserve"> </w:t>
      </w:r>
      <w:r w:rsidR="00DA7550" w:rsidRPr="00D34E1E">
        <w:rPr>
          <w:sz w:val="21"/>
          <w:szCs w:val="21"/>
        </w:rPr>
        <w:t xml:space="preserve"> </w:t>
      </w:r>
      <w:r w:rsidR="00B01561">
        <w:rPr>
          <w:sz w:val="21"/>
          <w:szCs w:val="21"/>
        </w:rPr>
        <w:t>This is part two</w:t>
      </w:r>
      <w:r w:rsidR="00DC3C51">
        <w:rPr>
          <w:sz w:val="21"/>
          <w:szCs w:val="21"/>
        </w:rPr>
        <w:t xml:space="preserve"> of a multi-part series.</w:t>
      </w:r>
      <w:r w:rsidR="00BC30E5" w:rsidRPr="00D34E1E">
        <w:rPr>
          <w:sz w:val="21"/>
          <w:szCs w:val="21"/>
        </w:rPr>
        <w:t xml:space="preserve"> 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23115583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DC3C51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483E22B3" w:rsidR="003E410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American </w:t>
      </w:r>
      <w:r w:rsidR="000C469A">
        <w:rPr>
          <w:sz w:val="21"/>
          <w:szCs w:val="21"/>
        </w:rPr>
        <w:t xml:space="preserve">Health </w:t>
      </w:r>
      <w:r>
        <w:rPr>
          <w:sz w:val="21"/>
          <w:szCs w:val="21"/>
        </w:rPr>
        <w:t>Care Act</w:t>
      </w:r>
      <w:r w:rsidR="000C469A">
        <w:rPr>
          <w:sz w:val="21"/>
          <w:szCs w:val="21"/>
        </w:rPr>
        <w:t xml:space="preserve"> (AHCA)</w:t>
      </w:r>
      <w:r>
        <w:rPr>
          <w:sz w:val="21"/>
          <w:szCs w:val="21"/>
        </w:rPr>
        <w:t xml:space="preserve"> – Caps and cuts to Medicaid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47B5D327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3F30CA35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B01561" w:rsidRPr="00B01561">
        <w:rPr>
          <w:b/>
          <w:sz w:val="21"/>
          <w:szCs w:val="21"/>
        </w:rPr>
        <w:t>November 13</w:t>
      </w:r>
      <w:r w:rsidR="00D65AC4" w:rsidRPr="00B01561">
        <w:rPr>
          <w:b/>
          <w:sz w:val="21"/>
          <w:szCs w:val="21"/>
        </w:rPr>
        <w:t>,</w:t>
      </w:r>
      <w:r w:rsidR="00815482" w:rsidRPr="00B01561">
        <w:rPr>
          <w:b/>
          <w:sz w:val="21"/>
          <w:szCs w:val="21"/>
        </w:rPr>
        <w:t xml:space="preserve"> 2017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DA7550" w:rsidRPr="00D34E1E">
        <w:rPr>
          <w:b/>
          <w:sz w:val="21"/>
          <w:szCs w:val="21"/>
        </w:rPr>
        <w:t xml:space="preserve">s:  </w:t>
      </w:r>
      <w:r w:rsidR="00671334">
        <w:rPr>
          <w:b/>
          <w:sz w:val="21"/>
          <w:szCs w:val="21"/>
        </w:rPr>
        <w:t>Skip MacGowan</w:t>
      </w:r>
      <w:bookmarkStart w:id="0" w:name="_GoBack"/>
      <w:bookmarkEnd w:id="0"/>
      <w:r w:rsidR="00F95092">
        <w:rPr>
          <w:b/>
          <w:sz w:val="21"/>
          <w:szCs w:val="21"/>
        </w:rPr>
        <w:t xml:space="preserve">.  </w:t>
      </w:r>
      <w:r w:rsidR="00DA7550" w:rsidRPr="00D34E1E">
        <w:rPr>
          <w:b/>
          <w:sz w:val="21"/>
          <w:szCs w:val="21"/>
        </w:rPr>
        <w:t xml:space="preserve">Topic:  </w:t>
      </w:r>
      <w:r w:rsidR="00B01561">
        <w:rPr>
          <w:b/>
          <w:sz w:val="21"/>
          <w:szCs w:val="21"/>
        </w:rPr>
        <w:t xml:space="preserve">Part three </w:t>
      </w:r>
      <w:r w:rsidR="00B01561" w:rsidRPr="00B01561">
        <w:rPr>
          <w:b/>
          <w:sz w:val="21"/>
          <w:szCs w:val="21"/>
        </w:rPr>
        <w:t>of the history of the system of care for people with intellectual/developmental disabilities, including Pineland, the Consent Decree, the Consumer Advisory Board, Community Standards, and other mechanisms put in place to ensure the system of care worked well</w:t>
      </w:r>
      <w:r w:rsidR="00B01561">
        <w:rPr>
          <w:b/>
          <w:sz w:val="21"/>
          <w:szCs w:val="21"/>
        </w:rPr>
        <w:t>.</w:t>
      </w:r>
      <w:r w:rsidR="00C6352B">
        <w:rPr>
          <w:b/>
          <w:sz w:val="21"/>
          <w:szCs w:val="21"/>
        </w:rPr>
        <w:t xml:space="preserve">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671334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92a8e6af-4002-40a0-a69a-326498427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3807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4</cp:revision>
  <cp:lastPrinted>2006-10-24T15:21:00Z</cp:lastPrinted>
  <dcterms:created xsi:type="dcterms:W3CDTF">2017-10-11T14:25:00Z</dcterms:created>
  <dcterms:modified xsi:type="dcterms:W3CDTF">2017-10-16T20:46:00Z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