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395" w:rsidRDefault="00FA3395" w:rsidP="00501FE4">
      <w:pPr>
        <w:jc w:val="center"/>
        <w:rPr>
          <w:b/>
          <w:sz w:val="28"/>
          <w:szCs w:val="28"/>
        </w:rPr>
      </w:pPr>
      <w:r w:rsidRPr="00BA0AB1">
        <w:rPr>
          <w:noProof/>
        </w:rPr>
        <w:drawing>
          <wp:anchor distT="36576" distB="36576" distL="36576" distR="36576" simplePos="0" relativeHeight="251659264" behindDoc="0" locked="0" layoutInCell="1" allowOverlap="1" wp14:anchorId="6BFCAD0B" wp14:editId="578766D8">
            <wp:simplePos x="0" y="0"/>
            <wp:positionH relativeFrom="column">
              <wp:posOffset>1341120</wp:posOffset>
            </wp:positionH>
            <wp:positionV relativeFrom="paragraph">
              <wp:posOffset>-117475</wp:posOffset>
            </wp:positionV>
            <wp:extent cx="3383280" cy="965200"/>
            <wp:effectExtent l="0" t="0" r="762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3280" cy="96520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FA3395" w:rsidRDefault="00FA3395" w:rsidP="00501FE4">
      <w:pPr>
        <w:jc w:val="center"/>
        <w:rPr>
          <w:b/>
          <w:sz w:val="28"/>
          <w:szCs w:val="28"/>
        </w:rPr>
      </w:pPr>
    </w:p>
    <w:p w:rsidR="00FA3395" w:rsidRDefault="00FA3395" w:rsidP="00501FE4">
      <w:pPr>
        <w:jc w:val="center"/>
        <w:rPr>
          <w:b/>
          <w:sz w:val="28"/>
          <w:szCs w:val="28"/>
        </w:rPr>
      </w:pPr>
      <w:bookmarkStart w:id="0" w:name="_GoBack"/>
      <w:bookmarkEnd w:id="0"/>
    </w:p>
    <w:p w:rsidR="00501FE4" w:rsidRPr="00501FE4" w:rsidRDefault="00501FE4" w:rsidP="00501FE4">
      <w:pPr>
        <w:jc w:val="center"/>
        <w:rPr>
          <w:b/>
          <w:sz w:val="28"/>
          <w:szCs w:val="28"/>
        </w:rPr>
      </w:pPr>
      <w:r w:rsidRPr="00501FE4">
        <w:rPr>
          <w:b/>
          <w:sz w:val="28"/>
          <w:szCs w:val="28"/>
        </w:rPr>
        <w:t>Major Changes in MaineCare Expected</w:t>
      </w:r>
    </w:p>
    <w:p w:rsidR="002B49E1" w:rsidRPr="00FA3395" w:rsidRDefault="001E7B3E" w:rsidP="00501FE4">
      <w:pPr>
        <w:jc w:val="center"/>
        <w:rPr>
          <w:b/>
          <w:sz w:val="28"/>
          <w:szCs w:val="28"/>
        </w:rPr>
      </w:pPr>
      <w:r w:rsidRPr="00FA3395">
        <w:rPr>
          <w:b/>
          <w:sz w:val="24"/>
          <w:szCs w:val="24"/>
        </w:rPr>
        <w:t>DHHS Submits MaineCare 1115 Waiver to CMS</w:t>
      </w:r>
    </w:p>
    <w:p w:rsidR="00492095" w:rsidRDefault="00492095" w:rsidP="001E7B3E">
      <w:pPr>
        <w:rPr>
          <w:sz w:val="24"/>
          <w:szCs w:val="24"/>
        </w:rPr>
      </w:pPr>
      <w:r>
        <w:rPr>
          <w:sz w:val="24"/>
          <w:szCs w:val="24"/>
        </w:rPr>
        <w:t>As expected, Maine DHHS</w:t>
      </w:r>
      <w:r w:rsidR="00F3244A">
        <w:rPr>
          <w:sz w:val="24"/>
          <w:szCs w:val="24"/>
        </w:rPr>
        <w:t>, on August 1, 2017</w:t>
      </w:r>
      <w:r w:rsidR="00D61016">
        <w:rPr>
          <w:sz w:val="24"/>
          <w:szCs w:val="24"/>
        </w:rPr>
        <w:t xml:space="preserve">, </w:t>
      </w:r>
      <w:r>
        <w:rPr>
          <w:sz w:val="24"/>
          <w:szCs w:val="24"/>
        </w:rPr>
        <w:t xml:space="preserve">submitted its MaineCare Section 1115 Waiver </w:t>
      </w:r>
      <w:r w:rsidR="00D61016">
        <w:rPr>
          <w:sz w:val="24"/>
          <w:szCs w:val="24"/>
        </w:rPr>
        <w:t xml:space="preserve">application </w:t>
      </w:r>
      <w:r>
        <w:rPr>
          <w:sz w:val="24"/>
          <w:szCs w:val="24"/>
        </w:rPr>
        <w:t>to</w:t>
      </w:r>
      <w:r w:rsidR="00B05DEF">
        <w:rPr>
          <w:sz w:val="24"/>
          <w:szCs w:val="24"/>
        </w:rPr>
        <w:t xml:space="preserve"> the </w:t>
      </w:r>
      <w:r w:rsidR="00B05DEF" w:rsidRPr="00B05DEF">
        <w:rPr>
          <w:sz w:val="24"/>
          <w:szCs w:val="24"/>
        </w:rPr>
        <w:t>Centers for Medicare and Medicaid Services</w:t>
      </w:r>
      <w:r w:rsidR="00B05DEF">
        <w:rPr>
          <w:sz w:val="24"/>
          <w:szCs w:val="24"/>
        </w:rPr>
        <w:t xml:space="preserve"> (</w:t>
      </w:r>
      <w:r>
        <w:rPr>
          <w:sz w:val="24"/>
          <w:szCs w:val="24"/>
        </w:rPr>
        <w:t>CMS</w:t>
      </w:r>
      <w:r w:rsidR="00B05DEF">
        <w:rPr>
          <w:sz w:val="24"/>
          <w:szCs w:val="24"/>
        </w:rPr>
        <w:t>)</w:t>
      </w:r>
      <w:r>
        <w:rPr>
          <w:sz w:val="24"/>
          <w:szCs w:val="24"/>
        </w:rPr>
        <w:t xml:space="preserve"> for approval.  </w:t>
      </w:r>
      <w:r w:rsidR="00D61016">
        <w:rPr>
          <w:sz w:val="24"/>
          <w:szCs w:val="24"/>
        </w:rPr>
        <w:t xml:space="preserve">Some </w:t>
      </w:r>
      <w:r>
        <w:rPr>
          <w:sz w:val="24"/>
          <w:szCs w:val="24"/>
        </w:rPr>
        <w:t xml:space="preserve">changes were made from the original </w:t>
      </w:r>
      <w:r w:rsidR="00F3244A">
        <w:rPr>
          <w:sz w:val="24"/>
          <w:szCs w:val="24"/>
        </w:rPr>
        <w:t xml:space="preserve">draft </w:t>
      </w:r>
      <w:r>
        <w:rPr>
          <w:sz w:val="24"/>
          <w:szCs w:val="24"/>
        </w:rPr>
        <w:t xml:space="preserve">waiver. </w:t>
      </w:r>
      <w:r w:rsidR="00D61016">
        <w:rPr>
          <w:sz w:val="24"/>
          <w:szCs w:val="24"/>
        </w:rPr>
        <w:t>(</w:t>
      </w:r>
      <w:r w:rsidR="00D10EE1">
        <w:rPr>
          <w:sz w:val="24"/>
          <w:szCs w:val="24"/>
        </w:rPr>
        <w:t>S</w:t>
      </w:r>
      <w:r w:rsidR="00D61016">
        <w:rPr>
          <w:sz w:val="24"/>
          <w:szCs w:val="24"/>
        </w:rPr>
        <w:t>ee below)</w:t>
      </w:r>
      <w:r>
        <w:rPr>
          <w:sz w:val="24"/>
          <w:szCs w:val="24"/>
        </w:rPr>
        <w:t xml:space="preserve"> The newly submitted application is available at:  </w:t>
      </w:r>
      <w:hyperlink r:id="rId10" w:history="1">
        <w:r w:rsidRPr="00342E9F">
          <w:rPr>
            <w:rStyle w:val="Hyperlink"/>
            <w:sz w:val="24"/>
            <w:szCs w:val="24"/>
          </w:rPr>
          <w:t>http://www.maine.gov/dhhs/oms/rules/MaineCare_1115_application_080217_to%20submit.pdf</w:t>
        </w:r>
      </w:hyperlink>
    </w:p>
    <w:p w:rsidR="00492095" w:rsidRDefault="00492095" w:rsidP="00492095">
      <w:pPr>
        <w:tabs>
          <w:tab w:val="left" w:pos="2520"/>
        </w:tabs>
        <w:rPr>
          <w:b/>
          <w:sz w:val="24"/>
          <w:szCs w:val="24"/>
        </w:rPr>
      </w:pPr>
      <w:r w:rsidRPr="00492095">
        <w:rPr>
          <w:b/>
          <w:sz w:val="24"/>
          <w:szCs w:val="24"/>
        </w:rPr>
        <w:t>What Happens Next?</w:t>
      </w:r>
      <w:r>
        <w:rPr>
          <w:b/>
          <w:sz w:val="24"/>
          <w:szCs w:val="24"/>
        </w:rPr>
        <w:tab/>
      </w:r>
    </w:p>
    <w:p w:rsidR="00D61016" w:rsidRDefault="00492095" w:rsidP="00F3244A">
      <w:pPr>
        <w:tabs>
          <w:tab w:val="left" w:pos="2520"/>
        </w:tabs>
        <w:rPr>
          <w:sz w:val="24"/>
          <w:szCs w:val="24"/>
        </w:rPr>
      </w:pPr>
      <w:r>
        <w:rPr>
          <w:sz w:val="24"/>
          <w:szCs w:val="24"/>
        </w:rPr>
        <w:t xml:space="preserve">CMS, the federal agency that oversees the Medicaid program, now has 15 days to determine if Maine’s Waiver application is complete.  If the application is deemed complete, then a 30-day federal comment period will begin. </w:t>
      </w:r>
      <w:r w:rsidR="00F3244A">
        <w:rPr>
          <w:sz w:val="24"/>
          <w:szCs w:val="24"/>
        </w:rPr>
        <w:t xml:space="preserve"> </w:t>
      </w:r>
      <w:r w:rsidR="00B05DEF">
        <w:rPr>
          <w:sz w:val="24"/>
          <w:szCs w:val="24"/>
        </w:rPr>
        <w:t>Maine Equal Justice Partners (</w:t>
      </w:r>
      <w:r w:rsidR="00D61016">
        <w:rPr>
          <w:sz w:val="24"/>
          <w:szCs w:val="24"/>
        </w:rPr>
        <w:t>MEJP</w:t>
      </w:r>
      <w:r w:rsidR="00B05DEF">
        <w:rPr>
          <w:sz w:val="24"/>
          <w:szCs w:val="24"/>
        </w:rPr>
        <w:t>)</w:t>
      </w:r>
      <w:r w:rsidR="00D61016">
        <w:rPr>
          <w:sz w:val="24"/>
          <w:szCs w:val="24"/>
        </w:rPr>
        <w:t xml:space="preserve"> will notify people when the 30-day comment period begins.</w:t>
      </w:r>
    </w:p>
    <w:p w:rsidR="00D61016" w:rsidRDefault="00D61016" w:rsidP="00F3244A">
      <w:pPr>
        <w:tabs>
          <w:tab w:val="left" w:pos="2520"/>
        </w:tabs>
        <w:rPr>
          <w:sz w:val="24"/>
          <w:szCs w:val="24"/>
        </w:rPr>
      </w:pPr>
      <w:r>
        <w:rPr>
          <w:sz w:val="24"/>
          <w:szCs w:val="24"/>
        </w:rPr>
        <w:t>During the comment period, it is important to submit substantive comments to make an evidentiary record for appeal.</w:t>
      </w:r>
      <w:r w:rsidR="00CB1354">
        <w:rPr>
          <w:sz w:val="24"/>
          <w:szCs w:val="24"/>
        </w:rPr>
        <w:t xml:space="preserve">  Comments th</w:t>
      </w:r>
      <w:r w:rsidR="00B05DEF">
        <w:rPr>
          <w:sz w:val="24"/>
          <w:szCs w:val="24"/>
        </w:rPr>
        <w:t>at</w:t>
      </w:r>
      <w:r w:rsidR="00CB1354">
        <w:rPr>
          <w:sz w:val="24"/>
          <w:szCs w:val="24"/>
        </w:rPr>
        <w:t xml:space="preserve"> clearly describe the anticipated impact of these changes on MaineCare members and their access to care</w:t>
      </w:r>
      <w:r w:rsidR="00B05DEF">
        <w:rPr>
          <w:sz w:val="24"/>
          <w:szCs w:val="24"/>
        </w:rPr>
        <w:t xml:space="preserve"> </w:t>
      </w:r>
      <w:r w:rsidR="00CB1354">
        <w:rPr>
          <w:sz w:val="24"/>
          <w:szCs w:val="24"/>
        </w:rPr>
        <w:t xml:space="preserve">will be most helpful. </w:t>
      </w:r>
      <w:r w:rsidR="00B05DEF">
        <w:rPr>
          <w:sz w:val="24"/>
          <w:szCs w:val="24"/>
        </w:rPr>
        <w:t>MEJP</w:t>
      </w:r>
      <w:r w:rsidR="00CB1354">
        <w:rPr>
          <w:sz w:val="24"/>
          <w:szCs w:val="24"/>
        </w:rPr>
        <w:t xml:space="preserve"> will send out more detailed information</w:t>
      </w:r>
      <w:r w:rsidR="007A2D5C">
        <w:rPr>
          <w:sz w:val="24"/>
          <w:szCs w:val="24"/>
        </w:rPr>
        <w:t xml:space="preserve"> describing what we believe will be the most </w:t>
      </w:r>
      <w:r w:rsidR="00CB1354">
        <w:rPr>
          <w:sz w:val="24"/>
          <w:szCs w:val="24"/>
        </w:rPr>
        <w:t xml:space="preserve">effective comments in a </w:t>
      </w:r>
      <w:r w:rsidR="007A2D5C">
        <w:rPr>
          <w:sz w:val="24"/>
          <w:szCs w:val="24"/>
        </w:rPr>
        <w:t>subsequent</w:t>
      </w:r>
      <w:r w:rsidR="00CB1354">
        <w:rPr>
          <w:sz w:val="24"/>
          <w:szCs w:val="24"/>
        </w:rPr>
        <w:t xml:space="preserve"> e-mail. </w:t>
      </w:r>
    </w:p>
    <w:p w:rsidR="001E7B3E" w:rsidRDefault="00F3244A" w:rsidP="00F3244A">
      <w:pPr>
        <w:tabs>
          <w:tab w:val="left" w:pos="2520"/>
        </w:tabs>
        <w:rPr>
          <w:sz w:val="24"/>
          <w:szCs w:val="24"/>
        </w:rPr>
      </w:pPr>
      <w:r>
        <w:rPr>
          <w:sz w:val="24"/>
          <w:szCs w:val="24"/>
        </w:rPr>
        <w:t xml:space="preserve">CMS will review the comments and </w:t>
      </w:r>
      <w:r w:rsidR="00D61016">
        <w:rPr>
          <w:sz w:val="24"/>
          <w:szCs w:val="24"/>
        </w:rPr>
        <w:t xml:space="preserve">must </w:t>
      </w:r>
      <w:r>
        <w:rPr>
          <w:sz w:val="24"/>
          <w:szCs w:val="24"/>
        </w:rPr>
        <w:t xml:space="preserve">wait at least 45 days after initiating the public comment period, before it </w:t>
      </w:r>
      <w:r w:rsidR="00D61016">
        <w:rPr>
          <w:sz w:val="24"/>
          <w:szCs w:val="24"/>
        </w:rPr>
        <w:t>can</w:t>
      </w:r>
      <w:r>
        <w:rPr>
          <w:sz w:val="24"/>
          <w:szCs w:val="24"/>
        </w:rPr>
        <w:t xml:space="preserve"> make a de</w:t>
      </w:r>
      <w:r w:rsidR="00D61016">
        <w:rPr>
          <w:sz w:val="24"/>
          <w:szCs w:val="24"/>
        </w:rPr>
        <w:t xml:space="preserve">cision on whether to grant or deny </w:t>
      </w:r>
      <w:r w:rsidR="007A2D5C">
        <w:rPr>
          <w:sz w:val="24"/>
          <w:szCs w:val="24"/>
        </w:rPr>
        <w:t xml:space="preserve">any or </w:t>
      </w:r>
      <w:r w:rsidR="00E038DF">
        <w:rPr>
          <w:sz w:val="24"/>
          <w:szCs w:val="24"/>
        </w:rPr>
        <w:t>the entire</w:t>
      </w:r>
      <w:r w:rsidR="00D61016">
        <w:rPr>
          <w:sz w:val="24"/>
          <w:szCs w:val="24"/>
        </w:rPr>
        <w:t xml:space="preserve"> waiver request</w:t>
      </w:r>
      <w:r>
        <w:rPr>
          <w:sz w:val="24"/>
          <w:szCs w:val="24"/>
        </w:rPr>
        <w:t xml:space="preserve">.  If CMS approves any provision of the waiver request, affected parties may appeal </w:t>
      </w:r>
      <w:r w:rsidR="007A2D5C">
        <w:rPr>
          <w:sz w:val="24"/>
          <w:szCs w:val="24"/>
        </w:rPr>
        <w:t xml:space="preserve">that decision </w:t>
      </w:r>
      <w:r>
        <w:rPr>
          <w:sz w:val="24"/>
          <w:szCs w:val="24"/>
        </w:rPr>
        <w:t>to the federal district court.</w:t>
      </w:r>
      <w:r w:rsidR="00D10EE1">
        <w:rPr>
          <w:sz w:val="24"/>
          <w:szCs w:val="24"/>
        </w:rPr>
        <w:t xml:space="preserve">  </w:t>
      </w:r>
      <w:r w:rsidR="007A2D5C">
        <w:rPr>
          <w:sz w:val="24"/>
          <w:szCs w:val="24"/>
        </w:rPr>
        <w:t xml:space="preserve">Maine </w:t>
      </w:r>
      <w:r w:rsidR="00D10EE1">
        <w:rPr>
          <w:sz w:val="24"/>
          <w:szCs w:val="24"/>
        </w:rPr>
        <w:t>DHHS will</w:t>
      </w:r>
      <w:r w:rsidR="007A2D5C">
        <w:rPr>
          <w:sz w:val="24"/>
          <w:szCs w:val="24"/>
        </w:rPr>
        <w:t xml:space="preserve"> then have to</w:t>
      </w:r>
      <w:r w:rsidR="00D10EE1">
        <w:rPr>
          <w:sz w:val="24"/>
          <w:szCs w:val="24"/>
        </w:rPr>
        <w:t xml:space="preserve"> implement the changes</w:t>
      </w:r>
      <w:r w:rsidR="007A2D5C">
        <w:rPr>
          <w:sz w:val="24"/>
          <w:szCs w:val="24"/>
        </w:rPr>
        <w:t xml:space="preserve"> approved by CMS</w:t>
      </w:r>
      <w:r w:rsidR="00D10EE1">
        <w:rPr>
          <w:sz w:val="24"/>
          <w:szCs w:val="24"/>
        </w:rPr>
        <w:t xml:space="preserve"> through rulemaking.</w:t>
      </w:r>
    </w:p>
    <w:p w:rsidR="00427B95" w:rsidRPr="001E7B3E" w:rsidRDefault="00427B95" w:rsidP="001E7B3E">
      <w:pPr>
        <w:spacing w:after="0" w:line="240" w:lineRule="auto"/>
        <w:ind w:firstLine="720"/>
        <w:rPr>
          <w:sz w:val="24"/>
          <w:szCs w:val="24"/>
        </w:rPr>
      </w:pPr>
    </w:p>
    <w:p w:rsidR="001E7B3E" w:rsidRDefault="00427B95" w:rsidP="00515DDD">
      <w:pPr>
        <w:spacing w:after="0" w:line="240" w:lineRule="auto"/>
        <w:rPr>
          <w:b/>
          <w:sz w:val="24"/>
          <w:szCs w:val="24"/>
        </w:rPr>
      </w:pPr>
      <w:r>
        <w:rPr>
          <w:b/>
          <w:sz w:val="24"/>
          <w:szCs w:val="24"/>
        </w:rPr>
        <w:t xml:space="preserve">What Does Maine’s Waiver Seek </w:t>
      </w:r>
      <w:r w:rsidR="002829B3">
        <w:rPr>
          <w:b/>
          <w:sz w:val="24"/>
          <w:szCs w:val="24"/>
        </w:rPr>
        <w:t>to</w:t>
      </w:r>
      <w:r>
        <w:rPr>
          <w:b/>
          <w:sz w:val="24"/>
          <w:szCs w:val="24"/>
        </w:rPr>
        <w:t xml:space="preserve"> </w:t>
      </w:r>
      <w:r w:rsidR="002829B3">
        <w:rPr>
          <w:b/>
          <w:sz w:val="24"/>
          <w:szCs w:val="24"/>
        </w:rPr>
        <w:t>Change</w:t>
      </w:r>
      <w:r>
        <w:rPr>
          <w:b/>
          <w:sz w:val="24"/>
          <w:szCs w:val="24"/>
        </w:rPr>
        <w:t>?</w:t>
      </w:r>
    </w:p>
    <w:p w:rsidR="00515DDD" w:rsidRDefault="00515DDD" w:rsidP="00515DDD">
      <w:pPr>
        <w:spacing w:after="0" w:line="240" w:lineRule="auto"/>
        <w:rPr>
          <w:sz w:val="24"/>
          <w:szCs w:val="24"/>
        </w:rPr>
      </w:pPr>
      <w:r>
        <w:rPr>
          <w:b/>
          <w:sz w:val="24"/>
          <w:szCs w:val="24"/>
        </w:rPr>
        <w:t xml:space="preserve"> </w:t>
      </w:r>
      <w:r w:rsidRPr="00515DDD">
        <w:rPr>
          <w:sz w:val="24"/>
          <w:szCs w:val="24"/>
        </w:rPr>
        <w:t>(See attached chart)</w:t>
      </w:r>
    </w:p>
    <w:p w:rsidR="00515DDD" w:rsidRPr="00515DDD" w:rsidRDefault="00515DDD" w:rsidP="00515DDD">
      <w:pPr>
        <w:spacing w:after="0" w:line="240" w:lineRule="auto"/>
        <w:rPr>
          <w:sz w:val="24"/>
          <w:szCs w:val="24"/>
        </w:rPr>
      </w:pPr>
    </w:p>
    <w:p w:rsidR="00CE529D" w:rsidRDefault="00D61016" w:rsidP="00D61016">
      <w:pPr>
        <w:pStyle w:val="ListParagraph"/>
        <w:numPr>
          <w:ilvl w:val="0"/>
          <w:numId w:val="2"/>
        </w:numPr>
        <w:rPr>
          <w:sz w:val="24"/>
          <w:szCs w:val="24"/>
        </w:rPr>
      </w:pPr>
      <w:r>
        <w:rPr>
          <w:b/>
          <w:sz w:val="24"/>
          <w:szCs w:val="24"/>
        </w:rPr>
        <w:t>Work Requirements</w:t>
      </w:r>
      <w:r w:rsidRPr="00427B95">
        <w:rPr>
          <w:sz w:val="24"/>
          <w:szCs w:val="24"/>
        </w:rPr>
        <w:t>:</w:t>
      </w:r>
      <w:r>
        <w:rPr>
          <w:sz w:val="24"/>
          <w:szCs w:val="24"/>
        </w:rPr>
        <w:t xml:space="preserve">  So called “able-bodied</w:t>
      </w:r>
      <w:proofErr w:type="gramStart"/>
      <w:r>
        <w:rPr>
          <w:sz w:val="24"/>
          <w:szCs w:val="24"/>
        </w:rPr>
        <w:t xml:space="preserve">” </w:t>
      </w:r>
      <w:r w:rsidR="00501FE4">
        <w:rPr>
          <w:sz w:val="24"/>
          <w:szCs w:val="24"/>
        </w:rPr>
        <w:t xml:space="preserve"> (</w:t>
      </w:r>
      <w:proofErr w:type="gramEnd"/>
      <w:r w:rsidR="00501FE4">
        <w:rPr>
          <w:sz w:val="24"/>
          <w:szCs w:val="24"/>
        </w:rPr>
        <w:t xml:space="preserve">non-exempt) </w:t>
      </w:r>
      <w:r>
        <w:rPr>
          <w:sz w:val="24"/>
          <w:szCs w:val="24"/>
        </w:rPr>
        <w:t xml:space="preserve">adults between the ages of 19-64 will have to engage in work (minimum of 20 hours per week) or other approved activities.  Failure to engage in </w:t>
      </w:r>
      <w:r w:rsidR="007A2D5C">
        <w:rPr>
          <w:sz w:val="24"/>
          <w:szCs w:val="24"/>
        </w:rPr>
        <w:t>these</w:t>
      </w:r>
      <w:r>
        <w:rPr>
          <w:sz w:val="24"/>
          <w:szCs w:val="24"/>
        </w:rPr>
        <w:t xml:space="preserve"> activities will result in termination of MaineCare after 3 months of eligibility. </w:t>
      </w:r>
      <w:r w:rsidR="00CE529D">
        <w:rPr>
          <w:sz w:val="24"/>
          <w:szCs w:val="24"/>
        </w:rPr>
        <w:t xml:space="preserve">(Eligibility can be regained </w:t>
      </w:r>
      <w:r w:rsidR="00CE529D">
        <w:rPr>
          <w:sz w:val="24"/>
          <w:szCs w:val="24"/>
        </w:rPr>
        <w:lastRenderedPageBreak/>
        <w:t xml:space="preserve">either by waiting for 33 months or </w:t>
      </w:r>
      <w:r w:rsidR="002829B3">
        <w:rPr>
          <w:sz w:val="24"/>
          <w:szCs w:val="24"/>
        </w:rPr>
        <w:t xml:space="preserve">by </w:t>
      </w:r>
      <w:r w:rsidR="00CE529D">
        <w:rPr>
          <w:sz w:val="24"/>
          <w:szCs w:val="24"/>
        </w:rPr>
        <w:t xml:space="preserve">engaging in approved work or other activities.) </w:t>
      </w:r>
    </w:p>
    <w:p w:rsidR="00D61016" w:rsidRDefault="00CE529D" w:rsidP="00CE529D">
      <w:pPr>
        <w:pStyle w:val="ListParagraph"/>
        <w:ind w:left="1440"/>
        <w:rPr>
          <w:sz w:val="24"/>
          <w:szCs w:val="24"/>
        </w:rPr>
      </w:pPr>
      <w:r>
        <w:rPr>
          <w:b/>
          <w:sz w:val="24"/>
          <w:szCs w:val="24"/>
        </w:rPr>
        <w:tab/>
      </w:r>
      <w:r w:rsidR="00D61016" w:rsidRPr="00427B95">
        <w:rPr>
          <w:b/>
          <w:sz w:val="24"/>
          <w:szCs w:val="24"/>
        </w:rPr>
        <w:t>Exemptions</w:t>
      </w:r>
      <w:r w:rsidR="00D61016">
        <w:rPr>
          <w:sz w:val="24"/>
          <w:szCs w:val="24"/>
        </w:rPr>
        <w:t xml:space="preserve"> </w:t>
      </w:r>
      <w:r>
        <w:rPr>
          <w:sz w:val="24"/>
          <w:szCs w:val="24"/>
        </w:rPr>
        <w:t xml:space="preserve">from the work or other engagement activities </w:t>
      </w:r>
      <w:r w:rsidR="00D61016">
        <w:rPr>
          <w:sz w:val="24"/>
          <w:szCs w:val="24"/>
        </w:rPr>
        <w:t>are provided for</w:t>
      </w:r>
      <w:r w:rsidR="002829B3">
        <w:rPr>
          <w:sz w:val="24"/>
          <w:szCs w:val="24"/>
        </w:rPr>
        <w:t xml:space="preserve"> several categories, including</w:t>
      </w:r>
      <w:r w:rsidR="00D61016">
        <w:rPr>
          <w:sz w:val="24"/>
          <w:szCs w:val="24"/>
        </w:rPr>
        <w:t>: people with disabilities</w:t>
      </w:r>
      <w:r w:rsidR="007A2D5C">
        <w:rPr>
          <w:sz w:val="24"/>
          <w:szCs w:val="24"/>
        </w:rPr>
        <w:t>, including those who are</w:t>
      </w:r>
      <w:r>
        <w:rPr>
          <w:sz w:val="24"/>
          <w:szCs w:val="24"/>
        </w:rPr>
        <w:t xml:space="preserve"> NOT receiving disability </w:t>
      </w:r>
      <w:proofErr w:type="gramStart"/>
      <w:r>
        <w:rPr>
          <w:sz w:val="24"/>
          <w:szCs w:val="24"/>
        </w:rPr>
        <w:t xml:space="preserve">benefits </w:t>
      </w:r>
      <w:r w:rsidR="00501FE4">
        <w:rPr>
          <w:sz w:val="24"/>
          <w:szCs w:val="24"/>
        </w:rPr>
        <w:t>,</w:t>
      </w:r>
      <w:proofErr w:type="gramEnd"/>
      <w:r w:rsidR="00501FE4">
        <w:rPr>
          <w:sz w:val="24"/>
          <w:szCs w:val="24"/>
        </w:rPr>
        <w:t xml:space="preserve"> but</w:t>
      </w:r>
      <w:r w:rsidR="00D61016">
        <w:rPr>
          <w:sz w:val="24"/>
          <w:szCs w:val="24"/>
        </w:rPr>
        <w:t xml:space="preserve"> who cannot work 20 hours or more per week, pregnant women, parents with children under age 6, people </w:t>
      </w:r>
      <w:r>
        <w:rPr>
          <w:sz w:val="24"/>
          <w:szCs w:val="24"/>
        </w:rPr>
        <w:t xml:space="preserve">living </w:t>
      </w:r>
      <w:r w:rsidR="00D61016">
        <w:rPr>
          <w:sz w:val="24"/>
          <w:szCs w:val="24"/>
        </w:rPr>
        <w:t>in residential facilities, including substance use treatment facilities</w:t>
      </w:r>
      <w:r w:rsidR="002829B3">
        <w:rPr>
          <w:sz w:val="24"/>
          <w:szCs w:val="24"/>
        </w:rPr>
        <w:t>, people providing care-giving services for an incapacitated adult</w:t>
      </w:r>
      <w:r w:rsidR="00D61016">
        <w:rPr>
          <w:sz w:val="24"/>
          <w:szCs w:val="24"/>
        </w:rPr>
        <w:t>.</w:t>
      </w:r>
      <w:r w:rsidR="002829B3">
        <w:rPr>
          <w:sz w:val="24"/>
          <w:szCs w:val="24"/>
        </w:rPr>
        <w:t xml:space="preserve"> (Interestingly, caring for an incapacitated child over the age of 6 is not an exemption.)</w:t>
      </w:r>
    </w:p>
    <w:p w:rsidR="00D61016" w:rsidRDefault="00D61016" w:rsidP="00D61016">
      <w:pPr>
        <w:pStyle w:val="ListParagraph"/>
        <w:ind w:left="1440"/>
        <w:rPr>
          <w:sz w:val="24"/>
          <w:szCs w:val="24"/>
        </w:rPr>
      </w:pPr>
    </w:p>
    <w:p w:rsidR="007A2D5C" w:rsidRDefault="00427B95" w:rsidP="00427B95">
      <w:pPr>
        <w:pStyle w:val="ListParagraph"/>
        <w:numPr>
          <w:ilvl w:val="0"/>
          <w:numId w:val="2"/>
        </w:numPr>
        <w:rPr>
          <w:sz w:val="24"/>
          <w:szCs w:val="24"/>
        </w:rPr>
      </w:pPr>
      <w:r w:rsidRPr="00427B95">
        <w:rPr>
          <w:b/>
          <w:sz w:val="24"/>
          <w:szCs w:val="24"/>
        </w:rPr>
        <w:t>Premiums</w:t>
      </w:r>
      <w:r>
        <w:rPr>
          <w:sz w:val="24"/>
          <w:szCs w:val="24"/>
        </w:rPr>
        <w:t>:  Imposes premiums on “able-bodied” adults between the ages of 19-64. (This includes parents, children ages 19 &amp;</w:t>
      </w:r>
      <w:r w:rsidR="00F3244A">
        <w:rPr>
          <w:sz w:val="24"/>
          <w:szCs w:val="24"/>
        </w:rPr>
        <w:t xml:space="preserve"> </w:t>
      </w:r>
      <w:r>
        <w:rPr>
          <w:sz w:val="24"/>
          <w:szCs w:val="24"/>
        </w:rPr>
        <w:t xml:space="preserve">20, </w:t>
      </w:r>
      <w:r w:rsidR="00F3244A">
        <w:rPr>
          <w:sz w:val="24"/>
          <w:szCs w:val="24"/>
        </w:rPr>
        <w:t xml:space="preserve">adults seeking family planning services, </w:t>
      </w:r>
      <w:r w:rsidR="007A2D5C">
        <w:rPr>
          <w:sz w:val="24"/>
          <w:szCs w:val="24"/>
        </w:rPr>
        <w:t xml:space="preserve">and </w:t>
      </w:r>
      <w:r>
        <w:rPr>
          <w:sz w:val="24"/>
          <w:szCs w:val="24"/>
        </w:rPr>
        <w:t>former foster care children.)  Premiums range from $10 to $40 per month depending on income.</w:t>
      </w:r>
      <w:r w:rsidR="00D61016">
        <w:rPr>
          <w:sz w:val="24"/>
          <w:szCs w:val="24"/>
        </w:rPr>
        <w:t xml:space="preserve"> </w:t>
      </w:r>
    </w:p>
    <w:p w:rsidR="00427B95" w:rsidRPr="00E038DF" w:rsidRDefault="00E038DF" w:rsidP="00E038DF">
      <w:pPr>
        <w:ind w:left="1080"/>
        <w:rPr>
          <w:sz w:val="24"/>
          <w:szCs w:val="24"/>
        </w:rPr>
      </w:pPr>
      <w:r>
        <w:rPr>
          <w:b/>
          <w:sz w:val="24"/>
          <w:szCs w:val="24"/>
        </w:rPr>
        <w:tab/>
      </w:r>
      <w:r>
        <w:rPr>
          <w:b/>
          <w:sz w:val="24"/>
          <w:szCs w:val="24"/>
        </w:rPr>
        <w:tab/>
      </w:r>
      <w:r w:rsidR="00D61016" w:rsidRPr="00E038DF">
        <w:rPr>
          <w:b/>
          <w:sz w:val="24"/>
          <w:szCs w:val="24"/>
        </w:rPr>
        <w:t>Exemptions</w:t>
      </w:r>
      <w:r w:rsidR="00D61016" w:rsidRPr="00E038DF">
        <w:rPr>
          <w:sz w:val="24"/>
          <w:szCs w:val="24"/>
        </w:rPr>
        <w:t xml:space="preserve"> that apply to the work requirements also apply to the </w:t>
      </w:r>
      <w:r>
        <w:rPr>
          <w:sz w:val="24"/>
          <w:szCs w:val="24"/>
        </w:rPr>
        <w:tab/>
      </w:r>
      <w:r w:rsidR="00D61016" w:rsidRPr="00E038DF">
        <w:rPr>
          <w:sz w:val="24"/>
          <w:szCs w:val="24"/>
        </w:rPr>
        <w:t>premium payment requirement.</w:t>
      </w:r>
    </w:p>
    <w:p w:rsidR="00427B95" w:rsidRDefault="00427B95" w:rsidP="00427B95">
      <w:pPr>
        <w:pStyle w:val="ListParagraph"/>
        <w:ind w:left="1440"/>
        <w:rPr>
          <w:sz w:val="24"/>
          <w:szCs w:val="24"/>
        </w:rPr>
      </w:pPr>
    </w:p>
    <w:p w:rsidR="00582BB7" w:rsidRDefault="00582BB7" w:rsidP="00E038DF">
      <w:pPr>
        <w:pStyle w:val="ListParagraph"/>
        <w:numPr>
          <w:ilvl w:val="0"/>
          <w:numId w:val="2"/>
        </w:numPr>
        <w:rPr>
          <w:sz w:val="24"/>
          <w:szCs w:val="24"/>
        </w:rPr>
      </w:pPr>
      <w:r w:rsidRPr="00CC156B">
        <w:rPr>
          <w:b/>
          <w:sz w:val="24"/>
          <w:szCs w:val="24"/>
        </w:rPr>
        <w:t xml:space="preserve">Co-Payments for Use of the Emergency Department:  </w:t>
      </w:r>
      <w:r w:rsidRPr="00CC156B">
        <w:rPr>
          <w:sz w:val="24"/>
          <w:szCs w:val="24"/>
        </w:rPr>
        <w:t xml:space="preserve">DHHS seeks to </w:t>
      </w:r>
      <w:r w:rsidR="00B85176" w:rsidRPr="00CC156B">
        <w:rPr>
          <w:sz w:val="24"/>
          <w:szCs w:val="24"/>
        </w:rPr>
        <w:t>collect</w:t>
      </w:r>
      <w:r w:rsidRPr="00CC156B">
        <w:rPr>
          <w:sz w:val="24"/>
          <w:szCs w:val="24"/>
        </w:rPr>
        <w:t xml:space="preserve"> a $10 co-payment from MaineCare recipients who use the hospital E</w:t>
      </w:r>
      <w:r w:rsidR="00B05DEF">
        <w:rPr>
          <w:sz w:val="24"/>
          <w:szCs w:val="24"/>
        </w:rPr>
        <w:t xml:space="preserve">mergency </w:t>
      </w:r>
      <w:r w:rsidRPr="00CC156B">
        <w:rPr>
          <w:sz w:val="24"/>
          <w:szCs w:val="24"/>
        </w:rPr>
        <w:t>D</w:t>
      </w:r>
      <w:r w:rsidR="00B05DEF">
        <w:rPr>
          <w:sz w:val="24"/>
          <w:szCs w:val="24"/>
        </w:rPr>
        <w:t>epartment (ED)</w:t>
      </w:r>
      <w:r w:rsidRPr="00CC156B">
        <w:rPr>
          <w:sz w:val="24"/>
          <w:szCs w:val="24"/>
        </w:rPr>
        <w:t xml:space="preserve"> for a</w:t>
      </w:r>
      <w:r w:rsidR="007A2D5C" w:rsidRPr="00CC156B">
        <w:rPr>
          <w:sz w:val="24"/>
          <w:szCs w:val="24"/>
        </w:rPr>
        <w:t xml:space="preserve">ny one of dozens of diagnoses </w:t>
      </w:r>
      <w:r w:rsidRPr="00CC156B">
        <w:rPr>
          <w:sz w:val="24"/>
          <w:szCs w:val="24"/>
        </w:rPr>
        <w:t>listed by DHHS.</w:t>
      </w:r>
      <w:r w:rsidR="00B85176" w:rsidRPr="00CC156B">
        <w:rPr>
          <w:sz w:val="24"/>
          <w:szCs w:val="24"/>
        </w:rPr>
        <w:t xml:space="preserve">  For example, use of the ED for </w:t>
      </w:r>
      <w:r w:rsidR="00265E9C" w:rsidRPr="00CC156B">
        <w:rPr>
          <w:sz w:val="24"/>
          <w:szCs w:val="24"/>
        </w:rPr>
        <w:t xml:space="preserve">what is later diagnosed as </w:t>
      </w:r>
      <w:r w:rsidR="00B85176" w:rsidRPr="00CC156B">
        <w:rPr>
          <w:sz w:val="24"/>
          <w:szCs w:val="24"/>
        </w:rPr>
        <w:t>an acute upper respiratory infection or severe persistent asthma will result in the imposition of a $10 copayment.</w:t>
      </w:r>
      <w:r w:rsidR="00B65E0B" w:rsidRPr="00CC156B">
        <w:rPr>
          <w:sz w:val="24"/>
          <w:szCs w:val="24"/>
        </w:rPr>
        <w:t xml:space="preserve">  </w:t>
      </w:r>
      <w:r w:rsidR="00265E9C" w:rsidRPr="00CC156B">
        <w:rPr>
          <w:sz w:val="24"/>
          <w:szCs w:val="24"/>
        </w:rPr>
        <w:t xml:space="preserve">Thus, even if a prudent person would go to the ED or even if the person’s PCP advises the person to go to the ED, if the diagnosis turns out to be what DHHS determines is a non-emergent condition, then </w:t>
      </w:r>
      <w:r w:rsidR="00E038DF">
        <w:rPr>
          <w:sz w:val="24"/>
          <w:szCs w:val="24"/>
        </w:rPr>
        <w:t xml:space="preserve">DHHS would assess </w:t>
      </w:r>
      <w:r w:rsidR="00265E9C" w:rsidRPr="00CC156B">
        <w:rPr>
          <w:sz w:val="24"/>
          <w:szCs w:val="24"/>
        </w:rPr>
        <w:t xml:space="preserve">a co-payment.  </w:t>
      </w:r>
    </w:p>
    <w:p w:rsidR="00E038DF" w:rsidRPr="00CC156B" w:rsidRDefault="00E038DF" w:rsidP="00E038DF">
      <w:pPr>
        <w:pStyle w:val="ListParagraph"/>
        <w:ind w:left="1440"/>
        <w:rPr>
          <w:sz w:val="24"/>
          <w:szCs w:val="24"/>
        </w:rPr>
      </w:pPr>
    </w:p>
    <w:p w:rsidR="00427B95" w:rsidRDefault="00582BB7" w:rsidP="00427B95">
      <w:pPr>
        <w:pStyle w:val="ListParagraph"/>
        <w:numPr>
          <w:ilvl w:val="0"/>
          <w:numId w:val="2"/>
        </w:numPr>
        <w:rPr>
          <w:sz w:val="24"/>
          <w:szCs w:val="24"/>
        </w:rPr>
      </w:pPr>
      <w:r w:rsidRPr="00582BB7">
        <w:rPr>
          <w:b/>
          <w:sz w:val="24"/>
          <w:szCs w:val="24"/>
        </w:rPr>
        <w:t>Asset Limits</w:t>
      </w:r>
      <w:r>
        <w:rPr>
          <w:sz w:val="24"/>
          <w:szCs w:val="24"/>
        </w:rPr>
        <w:t xml:space="preserve">:  </w:t>
      </w:r>
      <w:r w:rsidR="00427B95">
        <w:rPr>
          <w:sz w:val="24"/>
          <w:szCs w:val="24"/>
        </w:rPr>
        <w:t xml:space="preserve"> </w:t>
      </w:r>
      <w:r>
        <w:rPr>
          <w:sz w:val="24"/>
          <w:szCs w:val="24"/>
        </w:rPr>
        <w:t xml:space="preserve">Parents, children, pregnant women, adults seeking family planning services, </w:t>
      </w:r>
      <w:r w:rsidR="00F3244A">
        <w:rPr>
          <w:sz w:val="24"/>
          <w:szCs w:val="24"/>
        </w:rPr>
        <w:t xml:space="preserve">and </w:t>
      </w:r>
      <w:r>
        <w:rPr>
          <w:sz w:val="24"/>
          <w:szCs w:val="24"/>
        </w:rPr>
        <w:t>former foster care children will be subject to a $5000 asset test limit.  Certain assets are exempt</w:t>
      </w:r>
      <w:r w:rsidR="00F3244A">
        <w:rPr>
          <w:sz w:val="24"/>
          <w:szCs w:val="24"/>
        </w:rPr>
        <w:t xml:space="preserve"> such as</w:t>
      </w:r>
      <w:r>
        <w:rPr>
          <w:sz w:val="24"/>
          <w:szCs w:val="24"/>
        </w:rPr>
        <w:t>:  the home, furniture, tools of the trade, a vehicle, etc.</w:t>
      </w:r>
      <w:r w:rsidR="00CC156B">
        <w:rPr>
          <w:sz w:val="24"/>
          <w:szCs w:val="24"/>
        </w:rPr>
        <w:t xml:space="preserve"> </w:t>
      </w:r>
    </w:p>
    <w:p w:rsidR="00582BB7" w:rsidRPr="00582BB7" w:rsidRDefault="00582BB7" w:rsidP="00582BB7">
      <w:pPr>
        <w:pStyle w:val="ListParagraph"/>
        <w:rPr>
          <w:sz w:val="24"/>
          <w:szCs w:val="24"/>
        </w:rPr>
      </w:pPr>
    </w:p>
    <w:p w:rsidR="00582BB7" w:rsidRDefault="00582BB7" w:rsidP="00427B95">
      <w:pPr>
        <w:pStyle w:val="ListParagraph"/>
        <w:numPr>
          <w:ilvl w:val="0"/>
          <w:numId w:val="2"/>
        </w:numPr>
        <w:rPr>
          <w:sz w:val="24"/>
          <w:szCs w:val="24"/>
        </w:rPr>
      </w:pPr>
      <w:r w:rsidRPr="00582BB7">
        <w:rPr>
          <w:b/>
          <w:sz w:val="24"/>
          <w:szCs w:val="24"/>
        </w:rPr>
        <w:t>Limit on Retroactive Eligibility</w:t>
      </w:r>
      <w:r>
        <w:rPr>
          <w:sz w:val="24"/>
          <w:szCs w:val="24"/>
        </w:rPr>
        <w:t xml:space="preserve">:  Current law allows MaineCare applicants to seek coverage for the 3 month period prior to the month of application.  The applicant must show that they met all the requirements for MaineCare during the prior period.  For example, if someone has a heart attack toward the end of the month, and then applies for MaineCare the following month and seeks coverage for the heart attack, </w:t>
      </w:r>
      <w:r w:rsidR="00CE529D">
        <w:rPr>
          <w:sz w:val="24"/>
          <w:szCs w:val="24"/>
        </w:rPr>
        <w:t xml:space="preserve">based upon now meeting the requirements for MaineCare disability, </w:t>
      </w:r>
      <w:r>
        <w:rPr>
          <w:sz w:val="24"/>
          <w:szCs w:val="24"/>
        </w:rPr>
        <w:t xml:space="preserve">then that bill may be covered.  Under the Waiver, eligibility </w:t>
      </w:r>
      <w:r>
        <w:rPr>
          <w:sz w:val="24"/>
          <w:szCs w:val="24"/>
        </w:rPr>
        <w:lastRenderedPageBreak/>
        <w:t>could only date back to the 1</w:t>
      </w:r>
      <w:r w:rsidRPr="00582BB7">
        <w:rPr>
          <w:sz w:val="24"/>
          <w:szCs w:val="24"/>
          <w:vertAlign w:val="superscript"/>
        </w:rPr>
        <w:t>st</w:t>
      </w:r>
      <w:r>
        <w:rPr>
          <w:sz w:val="24"/>
          <w:szCs w:val="24"/>
        </w:rPr>
        <w:t xml:space="preserve"> day of the month of application, except for those seeking coverage in a nursing facility. </w:t>
      </w:r>
    </w:p>
    <w:p w:rsidR="00582BB7" w:rsidRPr="00582BB7" w:rsidRDefault="00582BB7" w:rsidP="00582BB7">
      <w:pPr>
        <w:pStyle w:val="ListParagraph"/>
        <w:rPr>
          <w:sz w:val="24"/>
          <w:szCs w:val="24"/>
        </w:rPr>
      </w:pPr>
    </w:p>
    <w:p w:rsidR="00582BB7" w:rsidRDefault="00582BB7" w:rsidP="00427B95">
      <w:pPr>
        <w:pStyle w:val="ListParagraph"/>
        <w:numPr>
          <w:ilvl w:val="0"/>
          <w:numId w:val="2"/>
        </w:numPr>
        <w:rPr>
          <w:sz w:val="24"/>
          <w:szCs w:val="24"/>
        </w:rPr>
      </w:pPr>
      <w:r w:rsidRPr="00582BB7">
        <w:rPr>
          <w:b/>
          <w:sz w:val="24"/>
          <w:szCs w:val="24"/>
        </w:rPr>
        <w:t>Penalty for Purchase of Certain Annuities</w:t>
      </w:r>
      <w:r>
        <w:rPr>
          <w:sz w:val="24"/>
          <w:szCs w:val="24"/>
        </w:rPr>
        <w:t xml:space="preserve">:   Current federal law exempts certain purchases of annuities from what is called a “transfer of asset penalty.”  Maine DHHS </w:t>
      </w:r>
      <w:r w:rsidR="00CC156B">
        <w:rPr>
          <w:sz w:val="24"/>
          <w:szCs w:val="24"/>
        </w:rPr>
        <w:t xml:space="preserve">now </w:t>
      </w:r>
      <w:r>
        <w:rPr>
          <w:sz w:val="24"/>
          <w:szCs w:val="24"/>
        </w:rPr>
        <w:t xml:space="preserve">seeks penalize </w:t>
      </w:r>
      <w:r w:rsidR="00CC156B">
        <w:rPr>
          <w:sz w:val="24"/>
          <w:szCs w:val="24"/>
        </w:rPr>
        <w:t>those purchasing</w:t>
      </w:r>
      <w:r>
        <w:rPr>
          <w:sz w:val="24"/>
          <w:szCs w:val="24"/>
        </w:rPr>
        <w:t xml:space="preserve"> certain annuities.</w:t>
      </w:r>
    </w:p>
    <w:p w:rsidR="00582BB7" w:rsidRPr="00582BB7" w:rsidRDefault="00582BB7" w:rsidP="00582BB7">
      <w:pPr>
        <w:pStyle w:val="ListParagraph"/>
        <w:rPr>
          <w:sz w:val="24"/>
          <w:szCs w:val="24"/>
        </w:rPr>
      </w:pPr>
    </w:p>
    <w:p w:rsidR="00582BB7" w:rsidRDefault="00582BB7" w:rsidP="00B85176">
      <w:pPr>
        <w:pStyle w:val="ListParagraph"/>
        <w:ind w:left="0"/>
        <w:rPr>
          <w:b/>
          <w:sz w:val="24"/>
          <w:szCs w:val="24"/>
        </w:rPr>
      </w:pPr>
      <w:r>
        <w:rPr>
          <w:b/>
          <w:sz w:val="24"/>
          <w:szCs w:val="24"/>
        </w:rPr>
        <w:t xml:space="preserve">How Does This Waiver </w:t>
      </w:r>
      <w:proofErr w:type="gramStart"/>
      <w:r>
        <w:rPr>
          <w:b/>
          <w:sz w:val="24"/>
          <w:szCs w:val="24"/>
        </w:rPr>
        <w:t>Differ</w:t>
      </w:r>
      <w:proofErr w:type="gramEnd"/>
      <w:r>
        <w:rPr>
          <w:b/>
          <w:sz w:val="24"/>
          <w:szCs w:val="24"/>
        </w:rPr>
        <w:t xml:space="preserve"> From the </w:t>
      </w:r>
      <w:r w:rsidR="00CC156B">
        <w:rPr>
          <w:b/>
          <w:sz w:val="24"/>
          <w:szCs w:val="24"/>
        </w:rPr>
        <w:t xml:space="preserve">one </w:t>
      </w:r>
      <w:r>
        <w:rPr>
          <w:b/>
          <w:sz w:val="24"/>
          <w:szCs w:val="24"/>
        </w:rPr>
        <w:t xml:space="preserve">DHHS </w:t>
      </w:r>
      <w:r w:rsidR="00CC156B">
        <w:rPr>
          <w:b/>
          <w:sz w:val="24"/>
          <w:szCs w:val="24"/>
        </w:rPr>
        <w:t xml:space="preserve">Proposed </w:t>
      </w:r>
      <w:r>
        <w:rPr>
          <w:b/>
          <w:sz w:val="24"/>
          <w:szCs w:val="24"/>
        </w:rPr>
        <w:t>in May, 2017?</w:t>
      </w:r>
    </w:p>
    <w:p w:rsidR="00582BB7" w:rsidRDefault="00582BB7" w:rsidP="00582BB7">
      <w:pPr>
        <w:pStyle w:val="ListParagraph"/>
        <w:ind w:left="1440"/>
        <w:rPr>
          <w:b/>
          <w:sz w:val="24"/>
          <w:szCs w:val="24"/>
        </w:rPr>
      </w:pPr>
    </w:p>
    <w:p w:rsidR="00582BB7" w:rsidRDefault="00582BB7" w:rsidP="00582BB7">
      <w:pPr>
        <w:pStyle w:val="ListParagraph"/>
        <w:ind w:left="1440"/>
        <w:rPr>
          <w:sz w:val="24"/>
          <w:szCs w:val="24"/>
        </w:rPr>
      </w:pPr>
      <w:r>
        <w:rPr>
          <w:sz w:val="24"/>
          <w:szCs w:val="24"/>
        </w:rPr>
        <w:t xml:space="preserve">There are a few changes.  Here is a partial </w:t>
      </w:r>
      <w:r w:rsidR="00B85176">
        <w:rPr>
          <w:sz w:val="24"/>
          <w:szCs w:val="24"/>
        </w:rPr>
        <w:t>list</w:t>
      </w:r>
      <w:r>
        <w:rPr>
          <w:sz w:val="24"/>
          <w:szCs w:val="24"/>
        </w:rPr>
        <w:t xml:space="preserve"> of those changes:</w:t>
      </w:r>
    </w:p>
    <w:p w:rsidR="00B85176" w:rsidRDefault="00B85176" w:rsidP="00582BB7">
      <w:pPr>
        <w:pStyle w:val="ListParagraph"/>
        <w:ind w:left="1440"/>
        <w:rPr>
          <w:sz w:val="24"/>
          <w:szCs w:val="24"/>
        </w:rPr>
      </w:pPr>
    </w:p>
    <w:p w:rsidR="00582BB7" w:rsidRDefault="00CC156B" w:rsidP="00582BB7">
      <w:pPr>
        <w:pStyle w:val="ListParagraph"/>
        <w:numPr>
          <w:ilvl w:val="0"/>
          <w:numId w:val="3"/>
        </w:numPr>
        <w:rPr>
          <w:sz w:val="24"/>
          <w:szCs w:val="24"/>
        </w:rPr>
      </w:pPr>
      <w:r>
        <w:rPr>
          <w:sz w:val="24"/>
          <w:szCs w:val="24"/>
        </w:rPr>
        <w:t>There will be no charges</w:t>
      </w:r>
      <w:r w:rsidR="00B85176">
        <w:rPr>
          <w:sz w:val="24"/>
          <w:szCs w:val="24"/>
        </w:rPr>
        <w:t xml:space="preserve"> for broken medical appointments</w:t>
      </w:r>
    </w:p>
    <w:p w:rsidR="00B85176" w:rsidRDefault="00B85176" w:rsidP="00582BB7">
      <w:pPr>
        <w:pStyle w:val="ListParagraph"/>
        <w:numPr>
          <w:ilvl w:val="0"/>
          <w:numId w:val="3"/>
        </w:numPr>
        <w:rPr>
          <w:sz w:val="24"/>
          <w:szCs w:val="24"/>
        </w:rPr>
      </w:pPr>
      <w:r>
        <w:rPr>
          <w:sz w:val="24"/>
          <w:szCs w:val="24"/>
        </w:rPr>
        <w:t>Nursing home applicants may get retroactive coverage- others cannot</w:t>
      </w:r>
    </w:p>
    <w:p w:rsidR="00B85176" w:rsidRDefault="00B85176" w:rsidP="00582BB7">
      <w:pPr>
        <w:pStyle w:val="ListParagraph"/>
        <w:numPr>
          <w:ilvl w:val="0"/>
          <w:numId w:val="3"/>
        </w:numPr>
        <w:rPr>
          <w:sz w:val="24"/>
          <w:szCs w:val="24"/>
        </w:rPr>
      </w:pPr>
      <w:r>
        <w:rPr>
          <w:sz w:val="24"/>
          <w:szCs w:val="24"/>
        </w:rPr>
        <w:t xml:space="preserve">Hospital ED co-payments now based upon diagnosis rather than whether there was </w:t>
      </w:r>
      <w:r w:rsidR="00492095">
        <w:rPr>
          <w:sz w:val="24"/>
          <w:szCs w:val="24"/>
        </w:rPr>
        <w:t xml:space="preserve">an in-patient </w:t>
      </w:r>
      <w:r>
        <w:rPr>
          <w:sz w:val="24"/>
          <w:szCs w:val="24"/>
        </w:rPr>
        <w:t>admission.  Co-payments are lowered to $10 from $20</w:t>
      </w:r>
    </w:p>
    <w:p w:rsidR="00FA3395" w:rsidRDefault="00B85176" w:rsidP="00F3244A">
      <w:pPr>
        <w:pStyle w:val="ListParagraph"/>
        <w:numPr>
          <w:ilvl w:val="0"/>
          <w:numId w:val="3"/>
        </w:numPr>
        <w:rPr>
          <w:sz w:val="24"/>
          <w:szCs w:val="24"/>
        </w:rPr>
      </w:pPr>
      <w:r>
        <w:rPr>
          <w:sz w:val="24"/>
          <w:szCs w:val="24"/>
        </w:rPr>
        <w:t xml:space="preserve">Premiums now start at 50% of poverty instead of </w:t>
      </w:r>
      <w:r w:rsidR="00CC156B">
        <w:rPr>
          <w:sz w:val="24"/>
          <w:szCs w:val="24"/>
        </w:rPr>
        <w:t>at zero income</w:t>
      </w:r>
      <w:r>
        <w:rPr>
          <w:sz w:val="24"/>
          <w:szCs w:val="24"/>
        </w:rPr>
        <w:t>.  Premiums are also set as fixed amounts depending on household income.</w:t>
      </w:r>
      <w:r w:rsidR="00B65E0B">
        <w:rPr>
          <w:sz w:val="24"/>
          <w:szCs w:val="24"/>
        </w:rPr>
        <w:t xml:space="preserve"> Non-payment of premiums will now result in a 90-day </w:t>
      </w:r>
      <w:r w:rsidR="00CC156B">
        <w:rPr>
          <w:sz w:val="24"/>
          <w:szCs w:val="24"/>
        </w:rPr>
        <w:t xml:space="preserve">penalty </w:t>
      </w:r>
      <w:r w:rsidR="00B65E0B">
        <w:rPr>
          <w:sz w:val="24"/>
          <w:szCs w:val="24"/>
        </w:rPr>
        <w:t>period, rather than a permanent bar until payment was made.</w:t>
      </w:r>
    </w:p>
    <w:p w:rsidR="00FA3395" w:rsidRDefault="00FA3395">
      <w:pPr>
        <w:rPr>
          <w:sz w:val="24"/>
          <w:szCs w:val="24"/>
        </w:rPr>
      </w:pPr>
    </w:p>
    <w:p w:rsidR="00FA3395" w:rsidRDefault="00FA3395">
      <w:pPr>
        <w:rPr>
          <w:sz w:val="24"/>
          <w:szCs w:val="24"/>
        </w:rPr>
      </w:pPr>
      <w:r>
        <w:rPr>
          <w:b/>
          <w:sz w:val="28"/>
          <w:szCs w:val="28"/>
        </w:rPr>
        <w:t>See Chart Below</w:t>
      </w:r>
      <w:r>
        <w:rPr>
          <w:sz w:val="24"/>
          <w:szCs w:val="24"/>
        </w:rPr>
        <w:br w:type="page"/>
      </w:r>
    </w:p>
    <w:p w:rsidR="00515DDD" w:rsidRPr="009B21D9" w:rsidRDefault="00515DDD" w:rsidP="00515DDD">
      <w:pPr>
        <w:jc w:val="center"/>
        <w:rPr>
          <w:b/>
          <w:sz w:val="28"/>
          <w:szCs w:val="28"/>
        </w:rPr>
      </w:pPr>
      <w:r w:rsidRPr="009B21D9">
        <w:rPr>
          <w:b/>
          <w:sz w:val="28"/>
          <w:szCs w:val="28"/>
        </w:rPr>
        <w:lastRenderedPageBreak/>
        <w:t>Impact of Proposed Section 1115 Waiver on Various Groups</w:t>
      </w:r>
    </w:p>
    <w:tbl>
      <w:tblPr>
        <w:tblStyle w:val="TableGrid"/>
        <w:tblW w:w="0" w:type="auto"/>
        <w:tblLayout w:type="fixed"/>
        <w:tblLook w:val="04A0" w:firstRow="1" w:lastRow="0" w:firstColumn="1" w:lastColumn="0" w:noHBand="0" w:noVBand="1"/>
      </w:tblPr>
      <w:tblGrid>
        <w:gridCol w:w="1998"/>
        <w:gridCol w:w="684"/>
        <w:gridCol w:w="983"/>
        <w:gridCol w:w="983"/>
        <w:gridCol w:w="1684"/>
        <w:gridCol w:w="1195"/>
        <w:gridCol w:w="1019"/>
        <w:gridCol w:w="1030"/>
      </w:tblGrid>
      <w:tr w:rsidR="00515DDD" w:rsidTr="00FA3395">
        <w:tc>
          <w:tcPr>
            <w:tcW w:w="1998" w:type="dxa"/>
          </w:tcPr>
          <w:p w:rsidR="00515DDD" w:rsidRDefault="00515DDD" w:rsidP="00E65754"/>
        </w:tc>
        <w:tc>
          <w:tcPr>
            <w:tcW w:w="684" w:type="dxa"/>
          </w:tcPr>
          <w:p w:rsidR="00515DDD" w:rsidRDefault="00515DDD" w:rsidP="00E65754"/>
          <w:p w:rsidR="00515DDD" w:rsidRDefault="00515DDD" w:rsidP="00E65754">
            <w:r>
              <w:t>Parents</w:t>
            </w:r>
          </w:p>
        </w:tc>
        <w:tc>
          <w:tcPr>
            <w:tcW w:w="983" w:type="dxa"/>
          </w:tcPr>
          <w:p w:rsidR="00515DDD" w:rsidRDefault="00515DDD" w:rsidP="00E65754">
            <w:r>
              <w:t>Children (19-20 year old)</w:t>
            </w:r>
          </w:p>
        </w:tc>
        <w:tc>
          <w:tcPr>
            <w:tcW w:w="983" w:type="dxa"/>
          </w:tcPr>
          <w:p w:rsidR="00515DDD" w:rsidRDefault="00515DDD" w:rsidP="00E65754">
            <w:r>
              <w:t>Former Foster Care Children (18-26 years old)</w:t>
            </w:r>
          </w:p>
        </w:tc>
        <w:tc>
          <w:tcPr>
            <w:tcW w:w="1684" w:type="dxa"/>
          </w:tcPr>
          <w:p w:rsidR="00515DDD" w:rsidRDefault="00515DDD" w:rsidP="00E65754">
            <w:r>
              <w:t>Elderly/Disabled</w:t>
            </w:r>
          </w:p>
        </w:tc>
        <w:tc>
          <w:tcPr>
            <w:tcW w:w="1195" w:type="dxa"/>
          </w:tcPr>
          <w:p w:rsidR="00515DDD" w:rsidRDefault="00515DDD" w:rsidP="00E65754">
            <w:r>
              <w:t>Breast or Cervical Cancer/ HIV/AIDS</w:t>
            </w:r>
          </w:p>
        </w:tc>
        <w:tc>
          <w:tcPr>
            <w:tcW w:w="1019" w:type="dxa"/>
          </w:tcPr>
          <w:p w:rsidR="00515DDD" w:rsidRDefault="00515DDD" w:rsidP="00E65754">
            <w:r>
              <w:t>Family Planning Eligibility Group</w:t>
            </w:r>
          </w:p>
        </w:tc>
        <w:tc>
          <w:tcPr>
            <w:tcW w:w="1030" w:type="dxa"/>
          </w:tcPr>
          <w:p w:rsidR="00515DDD" w:rsidRDefault="00515DDD" w:rsidP="00E65754">
            <w:r>
              <w:t>Pregnant</w:t>
            </w:r>
          </w:p>
        </w:tc>
      </w:tr>
      <w:tr w:rsidR="00515DDD" w:rsidTr="00FA3395">
        <w:tc>
          <w:tcPr>
            <w:tcW w:w="1998" w:type="dxa"/>
          </w:tcPr>
          <w:p w:rsidR="00515DDD" w:rsidRDefault="00515DDD" w:rsidP="00E65754">
            <w:r>
              <w:t xml:space="preserve">3 Month Limit on MaineCare eligibility </w:t>
            </w:r>
          </w:p>
          <w:p w:rsidR="00515DDD" w:rsidRDefault="00515DDD" w:rsidP="00E65754">
            <w:r>
              <w:t>(</w:t>
            </w:r>
            <w:proofErr w:type="spellStart"/>
            <w:r>
              <w:t>add’l</w:t>
            </w:r>
            <w:proofErr w:type="spellEnd"/>
            <w:r>
              <w:t xml:space="preserve"> months if work/community engagement met</w:t>
            </w:r>
          </w:p>
        </w:tc>
        <w:tc>
          <w:tcPr>
            <w:tcW w:w="684" w:type="dxa"/>
          </w:tcPr>
          <w:p w:rsidR="00515DDD" w:rsidRDefault="00515DDD" w:rsidP="00E65754"/>
          <w:p w:rsidR="00515DDD" w:rsidRDefault="00515DDD" w:rsidP="00E65754">
            <w:r>
              <w:t>yes</w:t>
            </w:r>
          </w:p>
        </w:tc>
        <w:tc>
          <w:tcPr>
            <w:tcW w:w="983" w:type="dxa"/>
          </w:tcPr>
          <w:p w:rsidR="00515DDD" w:rsidRDefault="00515DDD" w:rsidP="00E65754"/>
          <w:p w:rsidR="00515DDD" w:rsidRDefault="00515DDD" w:rsidP="00E65754">
            <w:r>
              <w:t>yes</w:t>
            </w:r>
          </w:p>
        </w:tc>
        <w:tc>
          <w:tcPr>
            <w:tcW w:w="983" w:type="dxa"/>
          </w:tcPr>
          <w:p w:rsidR="00515DDD" w:rsidRDefault="00515DDD" w:rsidP="00E65754"/>
          <w:p w:rsidR="00515DDD" w:rsidRDefault="00515DDD" w:rsidP="00E65754">
            <w:r>
              <w:t>yes</w:t>
            </w:r>
          </w:p>
        </w:tc>
        <w:tc>
          <w:tcPr>
            <w:tcW w:w="1684" w:type="dxa"/>
          </w:tcPr>
          <w:p w:rsidR="00515DDD" w:rsidRDefault="00515DDD" w:rsidP="00E65754">
            <w:r>
              <w:t>Exempt if getting disability benefits or unable to work 20 hours a week or more</w:t>
            </w:r>
          </w:p>
        </w:tc>
        <w:tc>
          <w:tcPr>
            <w:tcW w:w="1195" w:type="dxa"/>
          </w:tcPr>
          <w:p w:rsidR="00515DDD" w:rsidRDefault="00515DDD" w:rsidP="00E65754"/>
          <w:p w:rsidR="00515DDD" w:rsidRDefault="00515DDD" w:rsidP="00E65754">
            <w:r>
              <w:t>no</w:t>
            </w:r>
          </w:p>
        </w:tc>
        <w:tc>
          <w:tcPr>
            <w:tcW w:w="1019" w:type="dxa"/>
          </w:tcPr>
          <w:p w:rsidR="00515DDD" w:rsidRDefault="00515DDD" w:rsidP="00E65754"/>
          <w:p w:rsidR="00515DDD" w:rsidRDefault="00515DDD" w:rsidP="00E65754">
            <w:r>
              <w:t>yes</w:t>
            </w:r>
          </w:p>
        </w:tc>
        <w:tc>
          <w:tcPr>
            <w:tcW w:w="1030" w:type="dxa"/>
          </w:tcPr>
          <w:p w:rsidR="00515DDD" w:rsidRDefault="00515DDD" w:rsidP="00E65754">
            <w:r>
              <w:t>no</w:t>
            </w:r>
          </w:p>
        </w:tc>
      </w:tr>
      <w:tr w:rsidR="00515DDD" w:rsidTr="00FA3395">
        <w:tc>
          <w:tcPr>
            <w:tcW w:w="1998" w:type="dxa"/>
          </w:tcPr>
          <w:p w:rsidR="00515DDD" w:rsidRDefault="00515DDD" w:rsidP="00E65754">
            <w:r>
              <w:t>Asset Test</w:t>
            </w:r>
          </w:p>
        </w:tc>
        <w:tc>
          <w:tcPr>
            <w:tcW w:w="684" w:type="dxa"/>
          </w:tcPr>
          <w:p w:rsidR="00515DDD" w:rsidRDefault="00515DDD" w:rsidP="00E65754"/>
          <w:p w:rsidR="00515DDD" w:rsidRDefault="00515DDD" w:rsidP="00E65754">
            <w:r>
              <w:t>yes</w:t>
            </w:r>
          </w:p>
        </w:tc>
        <w:tc>
          <w:tcPr>
            <w:tcW w:w="983" w:type="dxa"/>
          </w:tcPr>
          <w:p w:rsidR="00515DDD" w:rsidRDefault="00515DDD" w:rsidP="00E65754"/>
          <w:p w:rsidR="00515DDD" w:rsidRDefault="00515DDD" w:rsidP="00E65754">
            <w:r>
              <w:t>yes</w:t>
            </w:r>
          </w:p>
        </w:tc>
        <w:tc>
          <w:tcPr>
            <w:tcW w:w="983" w:type="dxa"/>
          </w:tcPr>
          <w:p w:rsidR="00515DDD" w:rsidRDefault="00515DDD" w:rsidP="00E65754"/>
          <w:p w:rsidR="00515DDD" w:rsidRDefault="00515DDD" w:rsidP="00E65754">
            <w:r>
              <w:t>yes</w:t>
            </w:r>
          </w:p>
        </w:tc>
        <w:tc>
          <w:tcPr>
            <w:tcW w:w="1684" w:type="dxa"/>
          </w:tcPr>
          <w:p w:rsidR="00515DDD" w:rsidRDefault="00515DDD" w:rsidP="00E65754">
            <w:r>
              <w:t>(Already subject to asset test)</w:t>
            </w:r>
          </w:p>
        </w:tc>
        <w:tc>
          <w:tcPr>
            <w:tcW w:w="1195" w:type="dxa"/>
          </w:tcPr>
          <w:p w:rsidR="00515DDD" w:rsidRDefault="00515DDD" w:rsidP="00E65754"/>
          <w:p w:rsidR="00515DDD" w:rsidRDefault="00501FE4" w:rsidP="00E65754">
            <w:r>
              <w:t xml:space="preserve"> no</w:t>
            </w:r>
          </w:p>
        </w:tc>
        <w:tc>
          <w:tcPr>
            <w:tcW w:w="1019" w:type="dxa"/>
          </w:tcPr>
          <w:p w:rsidR="00515DDD" w:rsidRDefault="00515DDD" w:rsidP="00E65754"/>
          <w:p w:rsidR="00515DDD" w:rsidRDefault="00515DDD" w:rsidP="00E65754">
            <w:r>
              <w:t>yes</w:t>
            </w:r>
          </w:p>
        </w:tc>
        <w:tc>
          <w:tcPr>
            <w:tcW w:w="1030" w:type="dxa"/>
          </w:tcPr>
          <w:p w:rsidR="00515DDD" w:rsidRDefault="00515DDD" w:rsidP="00E65754"/>
          <w:p w:rsidR="00515DDD" w:rsidRDefault="00515DDD" w:rsidP="00E65754">
            <w:r>
              <w:t>yes</w:t>
            </w:r>
          </w:p>
        </w:tc>
      </w:tr>
      <w:tr w:rsidR="00515DDD" w:rsidTr="00FA3395">
        <w:tc>
          <w:tcPr>
            <w:tcW w:w="1998" w:type="dxa"/>
          </w:tcPr>
          <w:p w:rsidR="00515DDD" w:rsidRDefault="00515DDD" w:rsidP="00E65754">
            <w:r>
              <w:t>Elimination of Retroactive Eligibility for non-long term care applications.</w:t>
            </w:r>
          </w:p>
          <w:p w:rsidR="00515DDD" w:rsidRDefault="00515DDD" w:rsidP="00E65754">
            <w:r>
              <w:t>(no coverage for months before month of application)</w:t>
            </w:r>
          </w:p>
        </w:tc>
        <w:tc>
          <w:tcPr>
            <w:tcW w:w="684" w:type="dxa"/>
          </w:tcPr>
          <w:p w:rsidR="00515DDD" w:rsidRDefault="00515DDD" w:rsidP="00E65754"/>
          <w:p w:rsidR="00515DDD" w:rsidRDefault="00515DDD" w:rsidP="00E65754"/>
          <w:p w:rsidR="00515DDD" w:rsidRDefault="00515DDD" w:rsidP="00E65754">
            <w:r>
              <w:t>yes</w:t>
            </w:r>
          </w:p>
        </w:tc>
        <w:tc>
          <w:tcPr>
            <w:tcW w:w="983" w:type="dxa"/>
          </w:tcPr>
          <w:p w:rsidR="00515DDD" w:rsidRDefault="00515DDD" w:rsidP="00E65754"/>
          <w:p w:rsidR="00515DDD" w:rsidRDefault="00515DDD" w:rsidP="00E65754"/>
          <w:p w:rsidR="00515DDD" w:rsidRDefault="00515DDD" w:rsidP="00E65754">
            <w:r>
              <w:t>yes</w:t>
            </w:r>
          </w:p>
        </w:tc>
        <w:tc>
          <w:tcPr>
            <w:tcW w:w="983" w:type="dxa"/>
          </w:tcPr>
          <w:p w:rsidR="00515DDD" w:rsidRDefault="00515DDD" w:rsidP="00E65754"/>
          <w:p w:rsidR="00515DDD" w:rsidRDefault="00515DDD" w:rsidP="00E65754"/>
          <w:p w:rsidR="00515DDD" w:rsidRDefault="00515DDD" w:rsidP="00E65754">
            <w:r>
              <w:t>yes</w:t>
            </w:r>
          </w:p>
        </w:tc>
        <w:tc>
          <w:tcPr>
            <w:tcW w:w="1684" w:type="dxa"/>
          </w:tcPr>
          <w:p w:rsidR="00515DDD" w:rsidRDefault="00515DDD" w:rsidP="00E65754"/>
          <w:p w:rsidR="00515DDD" w:rsidRDefault="00515DDD" w:rsidP="00E65754"/>
          <w:p w:rsidR="00515DDD" w:rsidRDefault="00515DDD" w:rsidP="00E65754">
            <w:r>
              <w:t>yes</w:t>
            </w:r>
          </w:p>
        </w:tc>
        <w:tc>
          <w:tcPr>
            <w:tcW w:w="1195" w:type="dxa"/>
          </w:tcPr>
          <w:p w:rsidR="00515DDD" w:rsidRDefault="00515DDD" w:rsidP="00E65754"/>
          <w:p w:rsidR="00515DDD" w:rsidRDefault="00515DDD" w:rsidP="00E65754"/>
          <w:p w:rsidR="00515DDD" w:rsidRDefault="00515DDD" w:rsidP="00E65754">
            <w:r>
              <w:t>yes</w:t>
            </w:r>
          </w:p>
        </w:tc>
        <w:tc>
          <w:tcPr>
            <w:tcW w:w="1019" w:type="dxa"/>
          </w:tcPr>
          <w:p w:rsidR="00515DDD" w:rsidRDefault="00515DDD" w:rsidP="00E65754"/>
          <w:p w:rsidR="00515DDD" w:rsidRDefault="00515DDD" w:rsidP="00E65754"/>
          <w:p w:rsidR="00515DDD" w:rsidRDefault="00515DDD" w:rsidP="00E65754">
            <w:r>
              <w:t>yes</w:t>
            </w:r>
          </w:p>
        </w:tc>
        <w:tc>
          <w:tcPr>
            <w:tcW w:w="1030" w:type="dxa"/>
          </w:tcPr>
          <w:p w:rsidR="00515DDD" w:rsidRDefault="00515DDD" w:rsidP="00E65754"/>
          <w:p w:rsidR="00515DDD" w:rsidRDefault="00515DDD" w:rsidP="00E65754"/>
          <w:p w:rsidR="00515DDD" w:rsidRDefault="00515DDD" w:rsidP="00E65754">
            <w:r>
              <w:t>yes</w:t>
            </w:r>
          </w:p>
        </w:tc>
      </w:tr>
      <w:tr w:rsidR="00515DDD" w:rsidTr="00FA3395">
        <w:tc>
          <w:tcPr>
            <w:tcW w:w="1998" w:type="dxa"/>
          </w:tcPr>
          <w:p w:rsidR="00515DDD" w:rsidRDefault="00515DDD" w:rsidP="00E65754">
            <w:r>
              <w:t>Premiums</w:t>
            </w:r>
          </w:p>
          <w:p w:rsidR="00515DDD" w:rsidRDefault="00515DDD" w:rsidP="00E65754">
            <w:r>
              <w:t>(</w:t>
            </w:r>
            <w:proofErr w:type="gramStart"/>
            <w:r>
              <w:t>non-payment</w:t>
            </w:r>
            <w:proofErr w:type="gramEnd"/>
            <w:r>
              <w:t xml:space="preserve"> bars coverage for 90-days or until repaid, whichever comes first.).  </w:t>
            </w:r>
          </w:p>
        </w:tc>
        <w:tc>
          <w:tcPr>
            <w:tcW w:w="684" w:type="dxa"/>
          </w:tcPr>
          <w:p w:rsidR="00515DDD" w:rsidRDefault="00515DDD" w:rsidP="00E65754"/>
          <w:p w:rsidR="00515DDD" w:rsidRDefault="00515DDD" w:rsidP="00E65754"/>
          <w:p w:rsidR="00515DDD" w:rsidRDefault="00515DDD" w:rsidP="00E65754"/>
          <w:p w:rsidR="00515DDD" w:rsidRDefault="00515DDD" w:rsidP="00E65754">
            <w:r>
              <w:t>yes</w:t>
            </w:r>
          </w:p>
        </w:tc>
        <w:tc>
          <w:tcPr>
            <w:tcW w:w="983" w:type="dxa"/>
          </w:tcPr>
          <w:p w:rsidR="00515DDD" w:rsidRDefault="00515DDD" w:rsidP="00E65754"/>
          <w:p w:rsidR="00515DDD" w:rsidRDefault="00515DDD" w:rsidP="00E65754"/>
          <w:p w:rsidR="00515DDD" w:rsidRDefault="00515DDD" w:rsidP="00E65754"/>
          <w:p w:rsidR="00515DDD" w:rsidRDefault="00515DDD" w:rsidP="00E65754">
            <w:r>
              <w:t>yes</w:t>
            </w:r>
          </w:p>
        </w:tc>
        <w:tc>
          <w:tcPr>
            <w:tcW w:w="983" w:type="dxa"/>
          </w:tcPr>
          <w:p w:rsidR="00515DDD" w:rsidRDefault="00515DDD" w:rsidP="00E65754"/>
          <w:p w:rsidR="00515DDD" w:rsidRDefault="00515DDD" w:rsidP="00E65754"/>
          <w:p w:rsidR="00515DDD" w:rsidRDefault="00515DDD" w:rsidP="00E65754"/>
          <w:p w:rsidR="00515DDD" w:rsidRDefault="00515DDD" w:rsidP="00E65754">
            <w:r>
              <w:t>yes</w:t>
            </w:r>
          </w:p>
        </w:tc>
        <w:tc>
          <w:tcPr>
            <w:tcW w:w="1684" w:type="dxa"/>
          </w:tcPr>
          <w:p w:rsidR="00515DDD" w:rsidRDefault="00515DDD" w:rsidP="00E65754">
            <w:r>
              <w:t>no</w:t>
            </w:r>
          </w:p>
        </w:tc>
        <w:tc>
          <w:tcPr>
            <w:tcW w:w="1195" w:type="dxa"/>
          </w:tcPr>
          <w:p w:rsidR="00515DDD" w:rsidRDefault="00515DDD" w:rsidP="00E65754"/>
          <w:p w:rsidR="00515DDD" w:rsidRDefault="00515DDD" w:rsidP="00E65754"/>
          <w:p w:rsidR="00515DDD" w:rsidRDefault="00515DDD" w:rsidP="00E65754"/>
          <w:p w:rsidR="00515DDD" w:rsidRDefault="00515DDD" w:rsidP="00E65754">
            <w:r>
              <w:t>YES (HIV/AIDS currently pay premiums)</w:t>
            </w:r>
          </w:p>
        </w:tc>
        <w:tc>
          <w:tcPr>
            <w:tcW w:w="1019" w:type="dxa"/>
          </w:tcPr>
          <w:p w:rsidR="00515DDD" w:rsidRDefault="00515DDD" w:rsidP="00E65754"/>
          <w:p w:rsidR="00515DDD" w:rsidRDefault="00515DDD" w:rsidP="00E65754"/>
          <w:p w:rsidR="00515DDD" w:rsidRDefault="00515DDD" w:rsidP="00E65754"/>
          <w:p w:rsidR="00515DDD" w:rsidRDefault="00515DDD" w:rsidP="00E65754">
            <w:r>
              <w:t>yes</w:t>
            </w:r>
          </w:p>
        </w:tc>
        <w:tc>
          <w:tcPr>
            <w:tcW w:w="1030" w:type="dxa"/>
          </w:tcPr>
          <w:p w:rsidR="00515DDD" w:rsidRDefault="00515DDD" w:rsidP="00E65754"/>
          <w:p w:rsidR="00515DDD" w:rsidRDefault="00515DDD" w:rsidP="00E65754"/>
          <w:p w:rsidR="00515DDD" w:rsidRDefault="00515DDD" w:rsidP="00E65754"/>
          <w:p w:rsidR="00515DDD" w:rsidRDefault="00515DDD" w:rsidP="00E65754">
            <w:r>
              <w:t>yes</w:t>
            </w:r>
          </w:p>
        </w:tc>
      </w:tr>
      <w:tr w:rsidR="00515DDD" w:rsidTr="00FA3395">
        <w:tc>
          <w:tcPr>
            <w:tcW w:w="1998" w:type="dxa"/>
          </w:tcPr>
          <w:p w:rsidR="00515DDD" w:rsidRDefault="00515DDD" w:rsidP="00E65754">
            <w:r>
              <w:t>Co-Payments for Use of the ED for non-emergent diagnoses, (even if directed to ED by PCP.)</w:t>
            </w:r>
          </w:p>
        </w:tc>
        <w:tc>
          <w:tcPr>
            <w:tcW w:w="684" w:type="dxa"/>
          </w:tcPr>
          <w:p w:rsidR="00515DDD" w:rsidRDefault="00515DDD" w:rsidP="00E65754"/>
          <w:p w:rsidR="00515DDD" w:rsidRDefault="00515DDD" w:rsidP="00E65754"/>
          <w:p w:rsidR="00515DDD" w:rsidRDefault="00515DDD" w:rsidP="00E65754">
            <w:r>
              <w:t>yes</w:t>
            </w:r>
          </w:p>
        </w:tc>
        <w:tc>
          <w:tcPr>
            <w:tcW w:w="983" w:type="dxa"/>
          </w:tcPr>
          <w:p w:rsidR="00515DDD" w:rsidRDefault="00515DDD" w:rsidP="00E65754"/>
          <w:p w:rsidR="00515DDD" w:rsidRDefault="00515DDD" w:rsidP="00E65754"/>
          <w:p w:rsidR="00515DDD" w:rsidRDefault="00515DDD" w:rsidP="00E65754">
            <w:r>
              <w:t>yes</w:t>
            </w:r>
          </w:p>
        </w:tc>
        <w:tc>
          <w:tcPr>
            <w:tcW w:w="983" w:type="dxa"/>
          </w:tcPr>
          <w:p w:rsidR="00515DDD" w:rsidRDefault="00515DDD" w:rsidP="00E65754"/>
          <w:p w:rsidR="00515DDD" w:rsidRDefault="00515DDD" w:rsidP="00E65754"/>
          <w:p w:rsidR="00515DDD" w:rsidRDefault="00515DDD" w:rsidP="00E65754">
            <w:r>
              <w:t>yes</w:t>
            </w:r>
          </w:p>
        </w:tc>
        <w:tc>
          <w:tcPr>
            <w:tcW w:w="1684" w:type="dxa"/>
          </w:tcPr>
          <w:p w:rsidR="00515DDD" w:rsidRDefault="00515DDD" w:rsidP="00E65754"/>
          <w:p w:rsidR="00515DDD" w:rsidRDefault="00515DDD" w:rsidP="00E65754"/>
          <w:p w:rsidR="00515DDD" w:rsidRDefault="00515DDD" w:rsidP="00E65754">
            <w:r>
              <w:t>yes</w:t>
            </w:r>
          </w:p>
        </w:tc>
        <w:tc>
          <w:tcPr>
            <w:tcW w:w="1195" w:type="dxa"/>
          </w:tcPr>
          <w:p w:rsidR="00515DDD" w:rsidRDefault="00515DDD" w:rsidP="00E65754"/>
          <w:p w:rsidR="00515DDD" w:rsidRDefault="00515DDD" w:rsidP="00E65754"/>
          <w:p w:rsidR="00515DDD" w:rsidRDefault="00515DDD" w:rsidP="00E65754">
            <w:r>
              <w:t>yes</w:t>
            </w:r>
          </w:p>
        </w:tc>
        <w:tc>
          <w:tcPr>
            <w:tcW w:w="1019" w:type="dxa"/>
          </w:tcPr>
          <w:p w:rsidR="00515DDD" w:rsidRDefault="00515DDD" w:rsidP="00E65754"/>
          <w:p w:rsidR="00515DDD" w:rsidRDefault="00515DDD" w:rsidP="00E65754"/>
          <w:p w:rsidR="00515DDD" w:rsidRDefault="00515DDD" w:rsidP="00E65754">
            <w:r>
              <w:t>yes</w:t>
            </w:r>
          </w:p>
        </w:tc>
        <w:tc>
          <w:tcPr>
            <w:tcW w:w="1030" w:type="dxa"/>
          </w:tcPr>
          <w:p w:rsidR="00515DDD" w:rsidRDefault="00515DDD" w:rsidP="00E65754"/>
          <w:p w:rsidR="00515DDD" w:rsidRDefault="00515DDD" w:rsidP="00E65754"/>
          <w:p w:rsidR="00515DDD" w:rsidRDefault="00515DDD" w:rsidP="00E65754">
            <w:r>
              <w:t>yes</w:t>
            </w:r>
          </w:p>
        </w:tc>
      </w:tr>
      <w:tr w:rsidR="00515DDD" w:rsidTr="00FA3395">
        <w:tc>
          <w:tcPr>
            <w:tcW w:w="1998" w:type="dxa"/>
          </w:tcPr>
          <w:p w:rsidR="00515DDD" w:rsidRDefault="00515DDD" w:rsidP="00E65754">
            <w:r>
              <w:t>Elimination of Hospital Presumptive Eligibility</w:t>
            </w:r>
          </w:p>
        </w:tc>
        <w:tc>
          <w:tcPr>
            <w:tcW w:w="684" w:type="dxa"/>
          </w:tcPr>
          <w:p w:rsidR="00515DDD" w:rsidRDefault="00515DDD" w:rsidP="00E65754">
            <w:r>
              <w:t>yes</w:t>
            </w:r>
          </w:p>
          <w:p w:rsidR="00515DDD" w:rsidRDefault="00515DDD" w:rsidP="00E65754"/>
        </w:tc>
        <w:tc>
          <w:tcPr>
            <w:tcW w:w="983" w:type="dxa"/>
          </w:tcPr>
          <w:p w:rsidR="00515DDD" w:rsidRDefault="00515DDD" w:rsidP="00E65754">
            <w:r>
              <w:t>yes</w:t>
            </w:r>
          </w:p>
        </w:tc>
        <w:tc>
          <w:tcPr>
            <w:tcW w:w="983" w:type="dxa"/>
          </w:tcPr>
          <w:p w:rsidR="00515DDD" w:rsidRDefault="00515DDD" w:rsidP="00E65754">
            <w:r>
              <w:t>yes</w:t>
            </w:r>
          </w:p>
        </w:tc>
        <w:tc>
          <w:tcPr>
            <w:tcW w:w="1684" w:type="dxa"/>
          </w:tcPr>
          <w:p w:rsidR="00515DDD" w:rsidRDefault="00515DDD" w:rsidP="00E65754">
            <w:r>
              <w:t>Not Permitted under current law</w:t>
            </w:r>
          </w:p>
        </w:tc>
        <w:tc>
          <w:tcPr>
            <w:tcW w:w="1195" w:type="dxa"/>
          </w:tcPr>
          <w:p w:rsidR="00515DDD" w:rsidRDefault="00515DDD" w:rsidP="00E65754"/>
          <w:p w:rsidR="00515DDD" w:rsidRDefault="00515DDD" w:rsidP="00E65754">
            <w:r>
              <w:t>Not Permitted under current law</w:t>
            </w:r>
          </w:p>
          <w:p w:rsidR="00515DDD" w:rsidRDefault="00515DDD" w:rsidP="00E65754"/>
        </w:tc>
        <w:tc>
          <w:tcPr>
            <w:tcW w:w="1019" w:type="dxa"/>
          </w:tcPr>
          <w:p w:rsidR="00515DDD" w:rsidRDefault="00515DDD" w:rsidP="00E65754">
            <w:r>
              <w:t>yes</w:t>
            </w:r>
          </w:p>
        </w:tc>
        <w:tc>
          <w:tcPr>
            <w:tcW w:w="1030" w:type="dxa"/>
          </w:tcPr>
          <w:p w:rsidR="00515DDD" w:rsidRDefault="00515DDD" w:rsidP="00E65754">
            <w:r>
              <w:t>yes</w:t>
            </w:r>
          </w:p>
        </w:tc>
      </w:tr>
      <w:tr w:rsidR="00515DDD" w:rsidTr="00FA3395">
        <w:trPr>
          <w:trHeight w:val="1169"/>
        </w:trPr>
        <w:tc>
          <w:tcPr>
            <w:tcW w:w="1998" w:type="dxa"/>
          </w:tcPr>
          <w:p w:rsidR="00515DDD" w:rsidRDefault="00515DDD" w:rsidP="00E65754">
            <w:r>
              <w:lastRenderedPageBreak/>
              <w:t>Transfer Penalty for Annuities</w:t>
            </w:r>
          </w:p>
          <w:p w:rsidR="00515DDD" w:rsidRDefault="00515DDD" w:rsidP="00E65754"/>
          <w:p w:rsidR="00515DDD" w:rsidRDefault="00515DDD" w:rsidP="00E65754"/>
        </w:tc>
        <w:tc>
          <w:tcPr>
            <w:tcW w:w="684" w:type="dxa"/>
          </w:tcPr>
          <w:p w:rsidR="00515DDD" w:rsidRDefault="00515DDD" w:rsidP="00E65754"/>
        </w:tc>
        <w:tc>
          <w:tcPr>
            <w:tcW w:w="983" w:type="dxa"/>
          </w:tcPr>
          <w:p w:rsidR="00515DDD" w:rsidRDefault="00515DDD" w:rsidP="00E65754"/>
        </w:tc>
        <w:tc>
          <w:tcPr>
            <w:tcW w:w="983" w:type="dxa"/>
          </w:tcPr>
          <w:p w:rsidR="00515DDD" w:rsidRDefault="00515DDD" w:rsidP="00E65754"/>
        </w:tc>
        <w:tc>
          <w:tcPr>
            <w:tcW w:w="1684" w:type="dxa"/>
          </w:tcPr>
          <w:p w:rsidR="00515DDD" w:rsidRDefault="00515DDD" w:rsidP="00E65754">
            <w:r>
              <w:t>yes</w:t>
            </w:r>
          </w:p>
        </w:tc>
        <w:tc>
          <w:tcPr>
            <w:tcW w:w="1195" w:type="dxa"/>
          </w:tcPr>
          <w:p w:rsidR="00515DDD" w:rsidRDefault="00515DDD" w:rsidP="00E65754"/>
        </w:tc>
        <w:tc>
          <w:tcPr>
            <w:tcW w:w="1019" w:type="dxa"/>
          </w:tcPr>
          <w:p w:rsidR="00515DDD" w:rsidRDefault="00515DDD" w:rsidP="00E65754"/>
        </w:tc>
        <w:tc>
          <w:tcPr>
            <w:tcW w:w="1030" w:type="dxa"/>
          </w:tcPr>
          <w:p w:rsidR="00515DDD" w:rsidRDefault="00515DDD" w:rsidP="00E65754"/>
        </w:tc>
      </w:tr>
    </w:tbl>
    <w:p w:rsidR="00515DDD" w:rsidRDefault="00515DDD" w:rsidP="00515DDD"/>
    <w:p w:rsidR="00515DDD" w:rsidRDefault="00515DDD" w:rsidP="00515DDD">
      <w:r>
        <w:t>Key:  YES = applies to that group</w:t>
      </w:r>
    </w:p>
    <w:p w:rsidR="00F3244A" w:rsidRPr="00F3244A" w:rsidRDefault="00F3244A" w:rsidP="00F3244A">
      <w:pPr>
        <w:rPr>
          <w:sz w:val="24"/>
          <w:szCs w:val="24"/>
        </w:rPr>
      </w:pPr>
    </w:p>
    <w:sectPr w:rsidR="00F3244A" w:rsidRPr="00F3244A" w:rsidSect="00FA3395">
      <w:footerReference w:type="default" r:id="rId11"/>
      <w:pgSz w:w="12240" w:h="15840"/>
      <w:pgMar w:top="540" w:right="1440" w:bottom="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2D13" w:rsidRDefault="00CC2D13" w:rsidP="00501FE4">
      <w:pPr>
        <w:spacing w:after="0" w:line="240" w:lineRule="auto"/>
      </w:pPr>
      <w:r>
        <w:separator/>
      </w:r>
    </w:p>
  </w:endnote>
  <w:endnote w:type="continuationSeparator" w:id="0">
    <w:p w:rsidR="00CC2D13" w:rsidRDefault="00CC2D13" w:rsidP="00501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8023643"/>
      <w:docPartObj>
        <w:docPartGallery w:val="Page Numbers (Bottom of Page)"/>
        <w:docPartUnique/>
      </w:docPartObj>
    </w:sdtPr>
    <w:sdtEndPr>
      <w:rPr>
        <w:noProof/>
      </w:rPr>
    </w:sdtEndPr>
    <w:sdtContent>
      <w:p w:rsidR="00501FE4" w:rsidRDefault="00501FE4">
        <w:pPr>
          <w:pStyle w:val="Footer"/>
          <w:jc w:val="center"/>
        </w:pPr>
        <w:r>
          <w:fldChar w:fldCharType="begin"/>
        </w:r>
        <w:r>
          <w:instrText xml:space="preserve"> PAGE   \* MERGEFORMAT </w:instrText>
        </w:r>
        <w:r>
          <w:fldChar w:fldCharType="separate"/>
        </w:r>
        <w:r w:rsidR="00FA3395">
          <w:rPr>
            <w:noProof/>
          </w:rPr>
          <w:t>1</w:t>
        </w:r>
        <w:r>
          <w:rPr>
            <w:noProof/>
          </w:rPr>
          <w:fldChar w:fldCharType="end"/>
        </w:r>
      </w:p>
    </w:sdtContent>
  </w:sdt>
  <w:p w:rsidR="00501FE4" w:rsidRPr="00501FE4" w:rsidRDefault="00501FE4">
    <w:pPr>
      <w:pStyle w:val="Footer"/>
      <w:rPr>
        <w: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2D13" w:rsidRDefault="00CC2D13" w:rsidP="00501FE4">
      <w:pPr>
        <w:spacing w:after="0" w:line="240" w:lineRule="auto"/>
      </w:pPr>
      <w:r>
        <w:separator/>
      </w:r>
    </w:p>
  </w:footnote>
  <w:footnote w:type="continuationSeparator" w:id="0">
    <w:p w:rsidR="00CC2D13" w:rsidRDefault="00CC2D13" w:rsidP="00501F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D1682"/>
    <w:multiLevelType w:val="hybridMultilevel"/>
    <w:tmpl w:val="6292E4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3700AB7"/>
    <w:multiLevelType w:val="hybridMultilevel"/>
    <w:tmpl w:val="8F44B0F0"/>
    <w:lvl w:ilvl="0" w:tplc="7E3652CC">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nsid w:val="362B4E5A"/>
    <w:multiLevelType w:val="hybridMultilevel"/>
    <w:tmpl w:val="26061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A3E29CC"/>
    <w:multiLevelType w:val="hybridMultilevel"/>
    <w:tmpl w:val="5032FA22"/>
    <w:lvl w:ilvl="0" w:tplc="04090001">
      <w:start w:val="1"/>
      <w:numFmt w:val="bullet"/>
      <w:lvlText w:val=""/>
      <w:lvlJc w:val="left"/>
      <w:pPr>
        <w:ind w:left="1530" w:hanging="360"/>
      </w:pPr>
      <w:rPr>
        <w:rFonts w:ascii="Symbol" w:hAnsi="Symbol"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B3E"/>
    <w:rsid w:val="001E7B3E"/>
    <w:rsid w:val="00265E9C"/>
    <w:rsid w:val="002829B3"/>
    <w:rsid w:val="002B49E1"/>
    <w:rsid w:val="00427B95"/>
    <w:rsid w:val="00492095"/>
    <w:rsid w:val="004D3917"/>
    <w:rsid w:val="00501FE4"/>
    <w:rsid w:val="00515DDD"/>
    <w:rsid w:val="00582BB7"/>
    <w:rsid w:val="00722406"/>
    <w:rsid w:val="007A2D5C"/>
    <w:rsid w:val="00864100"/>
    <w:rsid w:val="00B05DEF"/>
    <w:rsid w:val="00B65E0B"/>
    <w:rsid w:val="00B85176"/>
    <w:rsid w:val="00CB1354"/>
    <w:rsid w:val="00CC156B"/>
    <w:rsid w:val="00CC2D13"/>
    <w:rsid w:val="00CE529D"/>
    <w:rsid w:val="00D10EE1"/>
    <w:rsid w:val="00D61016"/>
    <w:rsid w:val="00E038DF"/>
    <w:rsid w:val="00F3244A"/>
    <w:rsid w:val="00FA3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3E"/>
    <w:pPr>
      <w:ind w:left="720"/>
      <w:contextualSpacing/>
    </w:pPr>
  </w:style>
  <w:style w:type="character" w:styleId="Hyperlink">
    <w:name w:val="Hyperlink"/>
    <w:basedOn w:val="DefaultParagraphFont"/>
    <w:uiPriority w:val="99"/>
    <w:unhideWhenUsed/>
    <w:rsid w:val="00492095"/>
    <w:rPr>
      <w:color w:val="0000FF" w:themeColor="hyperlink"/>
      <w:u w:val="single"/>
    </w:rPr>
  </w:style>
  <w:style w:type="paragraph" w:styleId="BalloonText">
    <w:name w:val="Balloon Text"/>
    <w:basedOn w:val="Normal"/>
    <w:link w:val="BalloonTextChar"/>
    <w:uiPriority w:val="99"/>
    <w:semiHidden/>
    <w:unhideWhenUsed/>
    <w:rsid w:val="007A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5C"/>
    <w:rPr>
      <w:rFonts w:ascii="Tahoma" w:hAnsi="Tahoma" w:cs="Tahoma"/>
      <w:sz w:val="16"/>
      <w:szCs w:val="16"/>
    </w:rPr>
  </w:style>
  <w:style w:type="character" w:styleId="CommentReference">
    <w:name w:val="annotation reference"/>
    <w:basedOn w:val="DefaultParagraphFont"/>
    <w:uiPriority w:val="99"/>
    <w:semiHidden/>
    <w:unhideWhenUsed/>
    <w:rsid w:val="00B05DEF"/>
    <w:rPr>
      <w:sz w:val="16"/>
      <w:szCs w:val="16"/>
    </w:rPr>
  </w:style>
  <w:style w:type="paragraph" w:styleId="CommentText">
    <w:name w:val="annotation text"/>
    <w:basedOn w:val="Normal"/>
    <w:link w:val="CommentTextChar"/>
    <w:uiPriority w:val="99"/>
    <w:semiHidden/>
    <w:unhideWhenUsed/>
    <w:rsid w:val="00B05DEF"/>
    <w:pPr>
      <w:spacing w:line="240" w:lineRule="auto"/>
    </w:pPr>
    <w:rPr>
      <w:sz w:val="20"/>
      <w:szCs w:val="20"/>
    </w:rPr>
  </w:style>
  <w:style w:type="character" w:customStyle="1" w:styleId="CommentTextChar">
    <w:name w:val="Comment Text Char"/>
    <w:basedOn w:val="DefaultParagraphFont"/>
    <w:link w:val="CommentText"/>
    <w:uiPriority w:val="99"/>
    <w:semiHidden/>
    <w:rsid w:val="00B05DEF"/>
    <w:rPr>
      <w:sz w:val="20"/>
      <w:szCs w:val="20"/>
    </w:rPr>
  </w:style>
  <w:style w:type="paragraph" w:styleId="CommentSubject">
    <w:name w:val="annotation subject"/>
    <w:basedOn w:val="CommentText"/>
    <w:next w:val="CommentText"/>
    <w:link w:val="CommentSubjectChar"/>
    <w:uiPriority w:val="99"/>
    <w:semiHidden/>
    <w:unhideWhenUsed/>
    <w:rsid w:val="00B05DEF"/>
    <w:rPr>
      <w:b/>
      <w:bCs/>
    </w:rPr>
  </w:style>
  <w:style w:type="character" w:customStyle="1" w:styleId="CommentSubjectChar">
    <w:name w:val="Comment Subject Char"/>
    <w:basedOn w:val="CommentTextChar"/>
    <w:link w:val="CommentSubject"/>
    <w:uiPriority w:val="99"/>
    <w:semiHidden/>
    <w:rsid w:val="00B05DEF"/>
    <w:rPr>
      <w:b/>
      <w:bCs/>
      <w:sz w:val="20"/>
      <w:szCs w:val="20"/>
    </w:rPr>
  </w:style>
  <w:style w:type="table" w:styleId="TableGrid">
    <w:name w:val="Table Grid"/>
    <w:basedOn w:val="TableNormal"/>
    <w:uiPriority w:val="59"/>
    <w:rsid w:val="00515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E4"/>
  </w:style>
  <w:style w:type="paragraph" w:styleId="Footer">
    <w:name w:val="footer"/>
    <w:basedOn w:val="Normal"/>
    <w:link w:val="FooterChar"/>
    <w:uiPriority w:val="99"/>
    <w:unhideWhenUsed/>
    <w:rsid w:val="0050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E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7B3E"/>
    <w:pPr>
      <w:ind w:left="720"/>
      <w:contextualSpacing/>
    </w:pPr>
  </w:style>
  <w:style w:type="character" w:styleId="Hyperlink">
    <w:name w:val="Hyperlink"/>
    <w:basedOn w:val="DefaultParagraphFont"/>
    <w:uiPriority w:val="99"/>
    <w:unhideWhenUsed/>
    <w:rsid w:val="00492095"/>
    <w:rPr>
      <w:color w:val="0000FF" w:themeColor="hyperlink"/>
      <w:u w:val="single"/>
    </w:rPr>
  </w:style>
  <w:style w:type="paragraph" w:styleId="BalloonText">
    <w:name w:val="Balloon Text"/>
    <w:basedOn w:val="Normal"/>
    <w:link w:val="BalloonTextChar"/>
    <w:uiPriority w:val="99"/>
    <w:semiHidden/>
    <w:unhideWhenUsed/>
    <w:rsid w:val="007A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D5C"/>
    <w:rPr>
      <w:rFonts w:ascii="Tahoma" w:hAnsi="Tahoma" w:cs="Tahoma"/>
      <w:sz w:val="16"/>
      <w:szCs w:val="16"/>
    </w:rPr>
  </w:style>
  <w:style w:type="character" w:styleId="CommentReference">
    <w:name w:val="annotation reference"/>
    <w:basedOn w:val="DefaultParagraphFont"/>
    <w:uiPriority w:val="99"/>
    <w:semiHidden/>
    <w:unhideWhenUsed/>
    <w:rsid w:val="00B05DEF"/>
    <w:rPr>
      <w:sz w:val="16"/>
      <w:szCs w:val="16"/>
    </w:rPr>
  </w:style>
  <w:style w:type="paragraph" w:styleId="CommentText">
    <w:name w:val="annotation text"/>
    <w:basedOn w:val="Normal"/>
    <w:link w:val="CommentTextChar"/>
    <w:uiPriority w:val="99"/>
    <w:semiHidden/>
    <w:unhideWhenUsed/>
    <w:rsid w:val="00B05DEF"/>
    <w:pPr>
      <w:spacing w:line="240" w:lineRule="auto"/>
    </w:pPr>
    <w:rPr>
      <w:sz w:val="20"/>
      <w:szCs w:val="20"/>
    </w:rPr>
  </w:style>
  <w:style w:type="character" w:customStyle="1" w:styleId="CommentTextChar">
    <w:name w:val="Comment Text Char"/>
    <w:basedOn w:val="DefaultParagraphFont"/>
    <w:link w:val="CommentText"/>
    <w:uiPriority w:val="99"/>
    <w:semiHidden/>
    <w:rsid w:val="00B05DEF"/>
    <w:rPr>
      <w:sz w:val="20"/>
      <w:szCs w:val="20"/>
    </w:rPr>
  </w:style>
  <w:style w:type="paragraph" w:styleId="CommentSubject">
    <w:name w:val="annotation subject"/>
    <w:basedOn w:val="CommentText"/>
    <w:next w:val="CommentText"/>
    <w:link w:val="CommentSubjectChar"/>
    <w:uiPriority w:val="99"/>
    <w:semiHidden/>
    <w:unhideWhenUsed/>
    <w:rsid w:val="00B05DEF"/>
    <w:rPr>
      <w:b/>
      <w:bCs/>
    </w:rPr>
  </w:style>
  <w:style w:type="character" w:customStyle="1" w:styleId="CommentSubjectChar">
    <w:name w:val="Comment Subject Char"/>
    <w:basedOn w:val="CommentTextChar"/>
    <w:link w:val="CommentSubject"/>
    <w:uiPriority w:val="99"/>
    <w:semiHidden/>
    <w:rsid w:val="00B05DEF"/>
    <w:rPr>
      <w:b/>
      <w:bCs/>
      <w:sz w:val="20"/>
      <w:szCs w:val="20"/>
    </w:rPr>
  </w:style>
  <w:style w:type="table" w:styleId="TableGrid">
    <w:name w:val="Table Grid"/>
    <w:basedOn w:val="TableNormal"/>
    <w:uiPriority w:val="59"/>
    <w:rsid w:val="00515D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1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1FE4"/>
  </w:style>
  <w:style w:type="paragraph" w:styleId="Footer">
    <w:name w:val="footer"/>
    <w:basedOn w:val="Normal"/>
    <w:link w:val="FooterChar"/>
    <w:uiPriority w:val="99"/>
    <w:unhideWhenUsed/>
    <w:rsid w:val="00501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1F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ustomXml" Target="../customXml/item3.xml"/><Relationship Id="rId10" Type="http://schemas.openxmlformats.org/officeDocument/2006/relationships/hyperlink" Target="http://www.maine.gov/dhhs/oms/rules/MaineCare_1115_application_080217_to%20submit.pdf"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370C1F798CA6349B37A705DAFFDB6FD" ma:contentTypeVersion="3" ma:contentTypeDescription="Create a new document." ma:contentTypeScope="" ma:versionID="a70cfedd5874e961d740477ba9bb4030">
  <xsd:schema xmlns:xsd="http://www.w3.org/2001/XMLSchema" xmlns:xs="http://www.w3.org/2001/XMLSchema" xmlns:p="http://schemas.microsoft.com/office/2006/metadata/properties" xmlns:ns2="92a8e6af-4002-40a0-a69a-326498427863" targetNamespace="http://schemas.microsoft.com/office/2006/metadata/properties" ma:root="true" ma:fieldsID="d443f52bfecf0550cd648ada2a2238b7" ns2:_="">
    <xsd:import namespace="92a8e6af-4002-40a0-a69a-326498427863"/>
    <xsd:element name="properties">
      <xsd:complexType>
        <xsd:sequence>
          <xsd:element name="documentManagement">
            <xsd:complexType>
              <xsd:all>
                <xsd:element ref="ns2:MediaServiceMetadata" minOccurs="0"/>
                <xsd:element ref="ns2:MediaServiceFastMetadata"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a8e6af-4002-40a0-a69a-32649842786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172614-AF51-4FAA-A0ED-BB3F632400F0}">
  <ds:schemaRefs>
    <ds:schemaRef ds:uri="http://schemas.openxmlformats.org/officeDocument/2006/bibliography"/>
  </ds:schemaRefs>
</ds:datastoreItem>
</file>

<file path=customXml/itemProps2.xml><?xml version="1.0" encoding="utf-8"?>
<ds:datastoreItem xmlns:ds="http://schemas.openxmlformats.org/officeDocument/2006/customXml" ds:itemID="{4FED8859-E73E-453A-81D9-FD2EA4B8F2D6}"/>
</file>

<file path=customXml/itemProps3.xml><?xml version="1.0" encoding="utf-8"?>
<ds:datastoreItem xmlns:ds="http://schemas.openxmlformats.org/officeDocument/2006/customXml" ds:itemID="{D222EECA-E107-4470-BB09-50121C05A105}"/>
</file>

<file path=customXml/itemProps4.xml><?xml version="1.0" encoding="utf-8"?>
<ds:datastoreItem xmlns:ds="http://schemas.openxmlformats.org/officeDocument/2006/customXml" ds:itemID="{10B9F6B7-744E-4325-908E-870D8CF7D95E}"/>
</file>

<file path=docProps/app.xml><?xml version="1.0" encoding="utf-8"?>
<Properties xmlns="http://schemas.openxmlformats.org/officeDocument/2006/extended-properties" xmlns:vt="http://schemas.openxmlformats.org/officeDocument/2006/docPropsVTypes">
  <Template>Normal.dotm</Template>
  <TotalTime>3</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Comart</dc:creator>
  <cp:lastModifiedBy>Jack Comart</cp:lastModifiedBy>
  <cp:revision>3</cp:revision>
  <cp:lastPrinted>2017-08-07T11:45:00Z</cp:lastPrinted>
  <dcterms:created xsi:type="dcterms:W3CDTF">2017-08-09T13:01:00Z</dcterms:created>
  <dcterms:modified xsi:type="dcterms:W3CDTF">2017-08-09T15:04:00Z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0x0101001370C1F798CA6349B37A705DAFFDB6FD</vt:lpwstr>
  </property>
</Properties>
</file>